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9FF2B"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r w:rsidRPr="00EF524F">
        <w:rPr>
          <w:rFonts w:ascii="Calibri" w:eastAsia="Calibri" w:hAnsi="Calibri" w:cs="Times New Roman"/>
          <w:noProof/>
          <w:lang w:eastAsia="nl-NL"/>
        </w:rPr>
        <w:drawing>
          <wp:anchor distT="0" distB="0" distL="114300" distR="114300" simplePos="0" relativeHeight="251663360" behindDoc="0" locked="0" layoutInCell="1" allowOverlap="1" wp14:anchorId="6D997D9A" wp14:editId="347472BC">
            <wp:simplePos x="0" y="0"/>
            <wp:positionH relativeFrom="margin">
              <wp:align>left</wp:align>
            </wp:positionH>
            <wp:positionV relativeFrom="paragraph">
              <wp:posOffset>342596</wp:posOffset>
            </wp:positionV>
            <wp:extent cx="6087746" cy="1424936"/>
            <wp:effectExtent l="0" t="0" r="0" b="4445"/>
            <wp:wrapThrough wrapText="bothSides">
              <wp:wrapPolygon edited="0">
                <wp:start x="0" y="0"/>
                <wp:lineTo x="0" y="21379"/>
                <wp:lineTo x="21494" y="21379"/>
                <wp:lineTo x="21494" y="0"/>
                <wp:lineTo x="0" y="0"/>
              </wp:wrapPolygon>
            </wp:wrapThrough>
            <wp:docPr id="1" name="Afbeelding 19" descr="C:\Users\Pallas\Documents\scriptie\Logo Rijksuniversiteit Groningen 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6087746" cy="1424936"/>
                    </a:xfrm>
                    <a:prstGeom prst="rect">
                      <a:avLst/>
                    </a:prstGeom>
                    <a:noFill/>
                    <a:ln>
                      <a:noFill/>
                      <a:prstDash/>
                    </a:ln>
                  </pic:spPr>
                </pic:pic>
              </a:graphicData>
            </a:graphic>
          </wp:anchor>
        </w:drawing>
      </w:r>
    </w:p>
    <w:p w14:paraId="66EF0A68"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p>
    <w:p w14:paraId="7B6F264C"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p>
    <w:p w14:paraId="721D2EBD"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p>
    <w:p w14:paraId="6496EFAF"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p>
    <w:p w14:paraId="0D76037D"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p>
    <w:p w14:paraId="03709001"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p>
    <w:p w14:paraId="105135AE" w14:textId="77777777" w:rsidR="00EF524F" w:rsidRPr="00EF524F" w:rsidRDefault="00EF524F" w:rsidP="00EF524F">
      <w:pPr>
        <w:keepNext/>
        <w:keepLines/>
        <w:suppressAutoHyphens/>
        <w:autoSpaceDN w:val="0"/>
        <w:spacing w:before="40" w:after="0" w:line="256" w:lineRule="auto"/>
        <w:textAlignment w:val="baseline"/>
        <w:outlineLvl w:val="4"/>
        <w:rPr>
          <w:rFonts w:asciiTheme="majorHAnsi" w:eastAsiaTheme="majorEastAsia" w:hAnsiTheme="majorHAnsi" w:cstheme="majorBidi"/>
          <w:color w:val="2E74B5" w:themeColor="accent1" w:themeShade="BF"/>
          <w:sz w:val="48"/>
          <w:szCs w:val="48"/>
          <w:lang w:val="en-GB"/>
        </w:rPr>
      </w:pPr>
      <w:r w:rsidRPr="00EF524F">
        <w:rPr>
          <w:rFonts w:asciiTheme="majorHAnsi" w:eastAsiaTheme="majorEastAsia" w:hAnsiTheme="majorHAnsi" w:cstheme="majorBidi"/>
          <w:color w:val="2E74B5" w:themeColor="accent1" w:themeShade="BF"/>
          <w:sz w:val="48"/>
          <w:szCs w:val="48"/>
          <w:lang w:val="en-GB"/>
        </w:rPr>
        <w:t xml:space="preserve">Rethinking the role of superhydrophobicity in non-cell-adhesive biomaterial surfaces. </w:t>
      </w:r>
    </w:p>
    <w:p w14:paraId="16851A59" w14:textId="77777777" w:rsidR="00EF524F" w:rsidRPr="00EF524F" w:rsidRDefault="00EF524F" w:rsidP="00EF524F">
      <w:pPr>
        <w:suppressAutoHyphens/>
        <w:autoSpaceDN w:val="0"/>
        <w:spacing w:line="256" w:lineRule="auto"/>
        <w:textAlignment w:val="baseline"/>
        <w:rPr>
          <w:rFonts w:ascii="Calibri" w:eastAsia="Calibri" w:hAnsi="Calibri" w:cs="Times New Roman"/>
          <w:sz w:val="48"/>
          <w:szCs w:val="48"/>
          <w:lang w:val="en-GB"/>
        </w:rPr>
      </w:pPr>
    </w:p>
    <w:p w14:paraId="0B507C69" w14:textId="77777777" w:rsidR="00EF524F" w:rsidRPr="00EF524F" w:rsidRDefault="00EF524F" w:rsidP="00EF524F">
      <w:pPr>
        <w:suppressAutoHyphens/>
        <w:autoSpaceDN w:val="0"/>
        <w:spacing w:line="256" w:lineRule="auto"/>
        <w:textAlignment w:val="baseline"/>
        <w:rPr>
          <w:rFonts w:ascii="Calibri" w:eastAsia="Calibri" w:hAnsi="Calibri" w:cs="Times New Roman"/>
          <w:sz w:val="48"/>
          <w:szCs w:val="48"/>
          <w:lang w:val="en-GB"/>
        </w:rPr>
      </w:pPr>
    </w:p>
    <w:p w14:paraId="29C184D7" w14:textId="77777777" w:rsidR="00EF524F" w:rsidRPr="00EF524F" w:rsidRDefault="00EF524F" w:rsidP="00EF524F">
      <w:pPr>
        <w:suppressAutoHyphens/>
        <w:autoSpaceDN w:val="0"/>
        <w:spacing w:line="256" w:lineRule="auto"/>
        <w:textAlignment w:val="baseline"/>
        <w:rPr>
          <w:rFonts w:ascii="Calibri" w:eastAsia="Calibri" w:hAnsi="Calibri" w:cs="Times New Roman"/>
          <w:sz w:val="48"/>
          <w:szCs w:val="48"/>
          <w:lang w:val="en-GB"/>
        </w:rPr>
      </w:pPr>
    </w:p>
    <w:p w14:paraId="0011E488"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r w:rsidRPr="00EF524F">
        <w:rPr>
          <w:rFonts w:ascii="Calibri" w:eastAsia="Calibri" w:hAnsi="Calibri" w:cs="Times New Roman"/>
          <w:noProof/>
          <w:lang w:eastAsia="nl-NL"/>
        </w:rPr>
        <mc:AlternateContent>
          <mc:Choice Requires="wps">
            <w:drawing>
              <wp:anchor distT="0" distB="0" distL="114300" distR="114300" simplePos="0" relativeHeight="251664384" behindDoc="0" locked="0" layoutInCell="1" allowOverlap="1" wp14:anchorId="72625E73" wp14:editId="42CE5EE8">
                <wp:simplePos x="0" y="0"/>
                <wp:positionH relativeFrom="margin">
                  <wp:posOffset>-57150</wp:posOffset>
                </wp:positionH>
                <wp:positionV relativeFrom="paragraph">
                  <wp:posOffset>358775</wp:posOffset>
                </wp:positionV>
                <wp:extent cx="3887470" cy="1892935"/>
                <wp:effectExtent l="0" t="0" r="0" b="3810"/>
                <wp:wrapTopAndBottom/>
                <wp:docPr id="2" name="Tekstvak 2"/>
                <wp:cNvGraphicFramePr/>
                <a:graphic xmlns:a="http://schemas.openxmlformats.org/drawingml/2006/main">
                  <a:graphicData uri="http://schemas.microsoft.com/office/word/2010/wordprocessingShape">
                    <wps:wsp>
                      <wps:cNvSpPr txBox="1"/>
                      <wps:spPr>
                        <a:xfrm>
                          <a:off x="0" y="0"/>
                          <a:ext cx="3887470" cy="1892935"/>
                        </a:xfrm>
                        <a:prstGeom prst="rect">
                          <a:avLst/>
                        </a:prstGeom>
                        <a:noFill/>
                        <a:ln>
                          <a:noFill/>
                          <a:prstDash/>
                        </a:ln>
                      </wps:spPr>
                      <wps:txbx>
                        <w:txbxContent>
                          <w:p w14:paraId="68D3E3B9"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Name: P.D.L Koers</w:t>
                            </w:r>
                          </w:p>
                          <w:p w14:paraId="23D42ACB"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Student number: S2657694</w:t>
                            </w:r>
                          </w:p>
                          <w:p w14:paraId="1D7A6785"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Content: Bachelor Thesis</w:t>
                            </w:r>
                          </w:p>
                          <w:p w14:paraId="7BE20E83"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Study: Biomedical Engineering</w:t>
                            </w:r>
                          </w:p>
                          <w:p w14:paraId="2A53B672" w14:textId="6C653457" w:rsidR="00EF524F" w:rsidRDefault="00391918"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 xml:space="preserve">First </w:t>
                            </w:r>
                            <w:r w:rsidR="00EF524F">
                              <w:rPr>
                                <w:i/>
                                <w:iCs/>
                                <w:color w:val="5B9BD5"/>
                                <w:sz w:val="24"/>
                                <w:szCs w:val="24"/>
                                <w:lang w:val="en-GB"/>
                              </w:rPr>
                              <w:t>Supervisor: P. Van Rijn</w:t>
                            </w:r>
                          </w:p>
                          <w:p w14:paraId="688AFAD2"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 xml:space="preserve">Second Supervisor: T.G. van </w:t>
                            </w:r>
                            <w:proofErr w:type="spellStart"/>
                            <w:r>
                              <w:rPr>
                                <w:i/>
                                <w:iCs/>
                                <w:color w:val="5B9BD5"/>
                                <w:sz w:val="24"/>
                                <w:szCs w:val="24"/>
                                <w:lang w:val="en-GB"/>
                              </w:rPr>
                              <w:t>Kooten</w:t>
                            </w:r>
                            <w:proofErr w:type="spellEnd"/>
                          </w:p>
                          <w:p w14:paraId="36C5281A" w14:textId="6D3D82D2" w:rsidR="00EF524F" w:rsidRDefault="00F62D54"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Date: 08-05</w:t>
                            </w:r>
                            <w:r w:rsidR="00EF524F">
                              <w:rPr>
                                <w:i/>
                                <w:iCs/>
                                <w:color w:val="5B9BD5"/>
                                <w:sz w:val="24"/>
                                <w:szCs w:val="24"/>
                                <w:lang w:val="en-GB"/>
                              </w:rPr>
                              <w:t>-2014</w:t>
                            </w:r>
                          </w:p>
                          <w:p w14:paraId="44A030CE" w14:textId="77777777" w:rsidR="00EF524F" w:rsidRDefault="00EF524F" w:rsidP="00EF524F">
                            <w:pPr>
                              <w:pBdr>
                                <w:top w:val="single" w:sz="24" w:space="8" w:color="5B9BD5"/>
                                <w:bottom w:val="single" w:sz="24" w:space="8" w:color="5B9BD5"/>
                              </w:pBdr>
                              <w:spacing w:after="0"/>
                              <w:rPr>
                                <w:i/>
                                <w:iCs/>
                                <w:color w:val="5B9BD5"/>
                                <w:sz w:val="24"/>
                                <w:lang w:val="en-GB"/>
                              </w:rPr>
                            </w:pPr>
                          </w:p>
                        </w:txbxContent>
                      </wps:txbx>
                      <wps:bodyPr vert="horz" wrap="square" lIns="91440" tIns="45720" rIns="91440" bIns="45720" anchor="t" anchorCtr="0" compatLnSpc="0">
                        <a:spAutoFit/>
                      </wps:bodyPr>
                    </wps:wsp>
                  </a:graphicData>
                </a:graphic>
              </wp:anchor>
            </w:drawing>
          </mc:Choice>
          <mc:Fallback>
            <w:pict>
              <v:shapetype w14:anchorId="72625E73" id="_x0000_t202" coordsize="21600,21600" o:spt="202" path="m,l,21600r21600,l21600,xe">
                <v:stroke joinstyle="miter"/>
                <v:path gradientshapeok="t" o:connecttype="rect"/>
              </v:shapetype>
              <v:shape id="Tekstvak 2" o:spid="_x0000_s1026" type="#_x0000_t202" style="position:absolute;margin-left:-4.5pt;margin-top:28.25pt;width:306.1pt;height:149.0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" filled="f" stroked="f">
                <v:textbox style="mso-fit-shape-to-text:t">
                  <w:txbxContent>
                    <w:p w14:paraId="68D3E3B9"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Name: P.D.L Koers</w:t>
                      </w:r>
                    </w:p>
                    <w:p w14:paraId="23D42ACB"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Student number: S2657694</w:t>
                      </w:r>
                    </w:p>
                    <w:p w14:paraId="1D7A6785"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Content: Bachelor Thesis</w:t>
                      </w:r>
                    </w:p>
                    <w:p w14:paraId="7BE20E83"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Study: Biomedical Engineering</w:t>
                      </w:r>
                    </w:p>
                    <w:p w14:paraId="2A53B672" w14:textId="6C653457" w:rsidR="00EF524F" w:rsidRDefault="00391918"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 xml:space="preserve">First </w:t>
                      </w:r>
                      <w:r w:rsidR="00EF524F">
                        <w:rPr>
                          <w:i/>
                          <w:iCs/>
                          <w:color w:val="5B9BD5"/>
                          <w:sz w:val="24"/>
                          <w:szCs w:val="24"/>
                          <w:lang w:val="en-GB"/>
                        </w:rPr>
                        <w:t>Supervisor: P. Van Rijn</w:t>
                      </w:r>
                    </w:p>
                    <w:p w14:paraId="688AFAD2" w14:textId="77777777" w:rsidR="00EF524F" w:rsidRDefault="00EF524F"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 xml:space="preserve">Second Supervisor: T.G. van </w:t>
                      </w:r>
                      <w:proofErr w:type="spellStart"/>
                      <w:r>
                        <w:rPr>
                          <w:i/>
                          <w:iCs/>
                          <w:color w:val="5B9BD5"/>
                          <w:sz w:val="24"/>
                          <w:szCs w:val="24"/>
                          <w:lang w:val="en-GB"/>
                        </w:rPr>
                        <w:t>Kooten</w:t>
                      </w:r>
                      <w:proofErr w:type="spellEnd"/>
                    </w:p>
                    <w:p w14:paraId="36C5281A" w14:textId="6D3D82D2" w:rsidR="00EF524F" w:rsidRDefault="00F62D54" w:rsidP="00EF524F">
                      <w:pPr>
                        <w:pBdr>
                          <w:top w:val="single" w:sz="24" w:space="8" w:color="5B9BD5"/>
                          <w:bottom w:val="single" w:sz="24" w:space="8" w:color="5B9BD5"/>
                        </w:pBdr>
                        <w:spacing w:after="0"/>
                        <w:rPr>
                          <w:i/>
                          <w:iCs/>
                          <w:color w:val="5B9BD5"/>
                          <w:sz w:val="24"/>
                          <w:szCs w:val="24"/>
                          <w:lang w:val="en-GB"/>
                        </w:rPr>
                      </w:pPr>
                      <w:r>
                        <w:rPr>
                          <w:i/>
                          <w:iCs/>
                          <w:color w:val="5B9BD5"/>
                          <w:sz w:val="24"/>
                          <w:szCs w:val="24"/>
                          <w:lang w:val="en-GB"/>
                        </w:rPr>
                        <w:t>Date: 08-05</w:t>
                      </w:r>
                      <w:r w:rsidR="00EF524F">
                        <w:rPr>
                          <w:i/>
                          <w:iCs/>
                          <w:color w:val="5B9BD5"/>
                          <w:sz w:val="24"/>
                          <w:szCs w:val="24"/>
                          <w:lang w:val="en-GB"/>
                        </w:rPr>
                        <w:t>-2014</w:t>
                      </w:r>
                    </w:p>
                    <w:p w14:paraId="44A030CE" w14:textId="77777777" w:rsidR="00EF524F" w:rsidRDefault="00EF524F" w:rsidP="00EF524F">
                      <w:pPr>
                        <w:pBdr>
                          <w:top w:val="single" w:sz="24" w:space="8" w:color="5B9BD5"/>
                          <w:bottom w:val="single" w:sz="24" w:space="8" w:color="5B9BD5"/>
                        </w:pBdr>
                        <w:spacing w:after="0"/>
                        <w:rPr>
                          <w:i/>
                          <w:iCs/>
                          <w:color w:val="5B9BD5"/>
                          <w:sz w:val="24"/>
                          <w:lang w:val="en-GB"/>
                        </w:rPr>
                      </w:pPr>
                    </w:p>
                  </w:txbxContent>
                </v:textbox>
                <w10:wrap type="topAndBottom" anchorx="margin"/>
              </v:shape>
            </w:pict>
          </mc:Fallback>
        </mc:AlternateContent>
      </w:r>
    </w:p>
    <w:p w14:paraId="4978E044"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3D4066A6"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6AAEBC87" w14:textId="77777777" w:rsidR="00EF524F" w:rsidRPr="00EF524F" w:rsidRDefault="00EF524F" w:rsidP="00EF524F">
      <w:pPr>
        <w:keepNext/>
        <w:keepLines/>
        <w:suppressAutoHyphens/>
        <w:autoSpaceDN w:val="0"/>
        <w:spacing w:before="240" w:after="0" w:line="256" w:lineRule="auto"/>
        <w:ind w:firstLine="340"/>
        <w:textAlignment w:val="baseline"/>
        <w:outlineLvl w:val="0"/>
        <w:rPr>
          <w:rFonts w:ascii="Calibri Light" w:eastAsia="Times New Roman" w:hAnsi="Calibri Light" w:cs="Times New Roman"/>
          <w:color w:val="2E74B5"/>
          <w:sz w:val="32"/>
          <w:szCs w:val="32"/>
          <w:lang w:val="en-GB"/>
        </w:rPr>
      </w:pPr>
      <w:bookmarkStart w:id="0" w:name="_Toc489360358"/>
      <w:r w:rsidRPr="00EF524F">
        <w:rPr>
          <w:rFonts w:ascii="Calibri Light" w:eastAsia="Times New Roman" w:hAnsi="Calibri Light" w:cs="Times New Roman"/>
          <w:color w:val="2E74B5"/>
          <w:sz w:val="32"/>
          <w:szCs w:val="32"/>
          <w:lang w:val="en-GB"/>
        </w:rPr>
        <w:lastRenderedPageBreak/>
        <w:t>Abstract.</w:t>
      </w:r>
      <w:bookmarkEnd w:id="0"/>
    </w:p>
    <w:p w14:paraId="4C837929"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6ACBE5DF"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The potential of superhydrophobic surfaces have gained increased interest in the last decades. In the research field of anti-fouling and anti-coagulation of materials, this phenomenon is of particular interest due to its ability to prevent cell-adhesion in medical devices and implants. Even though publications including the new advanced fabrication methods of superhydrophobic materials are being widely spread, the role of the nanostructured surface remains unclear. Reports reveal contradictive results in the stability of the superhydrophobic state, and the influence on all interfacial factors involved in cell response remain unsure. Elucidating and understanding the underlying technical and physiological mechanisms involved in the utility of superhydrophobic materials is obligate to ensure optimal biocompatibility. To establish an accelerated movement from superhydrophobic fabrication method to medical applications, the reasons behind the conflicting results and theories should be revealed. Only then superhydrophobic surfaces can be transformed from theory to practice.</w:t>
      </w:r>
    </w:p>
    <w:p w14:paraId="2B3E7CE5"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174A31CA"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1464C8A2"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7971B5CE"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1A58A091"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5514908C"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10FA3BB4"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6AD130FE"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765180D9"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2FC8F959"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4C129031"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7F327EDD"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4F39E709"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7B611CC2"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57992C2C"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2A406AD4"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044F0E80"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67EC02EA"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6438B09C" w14:textId="77777777" w:rsidR="00EF524F" w:rsidRPr="00EF524F" w:rsidRDefault="00EF524F" w:rsidP="00EF524F">
      <w:pPr>
        <w:suppressAutoHyphens/>
        <w:autoSpaceDN w:val="0"/>
        <w:spacing w:line="256" w:lineRule="auto"/>
        <w:ind w:left="340" w:right="-510"/>
        <w:jc w:val="both"/>
        <w:textAlignment w:val="baseline"/>
        <w:rPr>
          <w:rFonts w:ascii="Calibri" w:eastAsia="Calibri" w:hAnsi="Calibri" w:cs="Times New Roman"/>
          <w:sz w:val="20"/>
          <w:szCs w:val="20"/>
          <w:lang w:val="en-GB"/>
        </w:rPr>
      </w:pPr>
    </w:p>
    <w:p w14:paraId="6DDC3632" w14:textId="77777777" w:rsidR="00EF524F" w:rsidRPr="00EF524F" w:rsidRDefault="00EF524F" w:rsidP="00EF524F">
      <w:pPr>
        <w:keepNext/>
        <w:keepLines/>
        <w:suppressAutoHyphens/>
        <w:autoSpaceDN w:val="0"/>
        <w:spacing w:before="240" w:after="0" w:line="256" w:lineRule="auto"/>
        <w:textAlignment w:val="baseline"/>
        <w:outlineLvl w:val="0"/>
        <w:rPr>
          <w:rFonts w:ascii="Calibri" w:eastAsia="Calibri" w:hAnsi="Calibri" w:cs="Times New Roman"/>
          <w:sz w:val="20"/>
          <w:szCs w:val="20"/>
          <w:lang w:val="en-GB"/>
        </w:rPr>
      </w:pPr>
    </w:p>
    <w:p w14:paraId="34182117" w14:textId="77777777" w:rsidR="00EF524F" w:rsidRPr="00EF524F" w:rsidRDefault="00EF524F" w:rsidP="00EF524F">
      <w:pPr>
        <w:keepNext/>
        <w:keepLines/>
        <w:suppressAutoHyphens/>
        <w:autoSpaceDN w:val="0"/>
        <w:spacing w:before="240" w:after="0" w:line="256" w:lineRule="auto"/>
        <w:textAlignment w:val="baseline"/>
        <w:outlineLvl w:val="0"/>
        <w:rPr>
          <w:rFonts w:ascii="Calibri" w:eastAsia="Calibri" w:hAnsi="Calibri" w:cs="Times New Roman"/>
          <w:lang w:val="en-GB"/>
        </w:rPr>
      </w:pPr>
    </w:p>
    <w:p w14:paraId="1CBA2BD3"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2D300788"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269DC9FE"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0E5AEA18" w14:textId="77777777" w:rsidR="00EF524F" w:rsidRPr="00EF524F" w:rsidRDefault="00EF524F" w:rsidP="00EF524F">
      <w:pPr>
        <w:keepNext/>
        <w:keepLines/>
        <w:suppressAutoHyphens/>
        <w:autoSpaceDN w:val="0"/>
        <w:spacing w:before="240" w:after="0" w:line="256" w:lineRule="auto"/>
        <w:textAlignment w:val="baseline"/>
        <w:outlineLvl w:val="0"/>
        <w:rPr>
          <w:rFonts w:ascii="Calibri Light" w:eastAsia="Times New Roman" w:hAnsi="Calibri Light" w:cs="Times New Roman"/>
          <w:color w:val="2E74B5"/>
          <w:sz w:val="32"/>
          <w:szCs w:val="32"/>
          <w:lang w:val="en-GB"/>
        </w:rPr>
      </w:pPr>
      <w:bookmarkStart w:id="1" w:name="_Toc489360359"/>
      <w:r w:rsidRPr="00EF524F">
        <w:rPr>
          <w:rFonts w:ascii="Calibri Light" w:eastAsia="Times New Roman" w:hAnsi="Calibri Light" w:cs="Times New Roman"/>
          <w:color w:val="2E74B5"/>
          <w:sz w:val="32"/>
          <w:szCs w:val="32"/>
          <w:lang w:val="en-GB"/>
        </w:rPr>
        <w:lastRenderedPageBreak/>
        <w:t>Content.</w:t>
      </w:r>
      <w:bookmarkEnd w:id="1"/>
    </w:p>
    <w:p w14:paraId="50D365DF"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58F7FCF8"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3CB09195"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sdt>
      <w:sdtPr>
        <w:rPr>
          <w:rFonts w:ascii="Calibri" w:eastAsia="Calibri" w:hAnsi="Calibri" w:cs="Times New Roman"/>
        </w:rPr>
        <w:id w:val="1499857109"/>
        <w:docPartObj>
          <w:docPartGallery w:val="Table of Contents"/>
          <w:docPartUnique/>
        </w:docPartObj>
      </w:sdtPr>
      <w:sdtEndPr>
        <w:rPr>
          <w:b/>
          <w:bCs/>
        </w:rPr>
      </w:sdtEndPr>
      <w:sdtContent>
        <w:p w14:paraId="5CCDD2A6" w14:textId="77777777" w:rsidR="00EF524F" w:rsidRPr="00EF524F" w:rsidRDefault="00EF524F" w:rsidP="00EF524F">
          <w:pPr>
            <w:keepNext/>
            <w:keepLines/>
            <w:spacing w:before="240" w:after="0"/>
            <w:rPr>
              <w:rFonts w:asciiTheme="majorHAnsi" w:eastAsiaTheme="majorEastAsia" w:hAnsiTheme="majorHAnsi" w:cstheme="majorBidi"/>
              <w:color w:val="2E74B5" w:themeColor="accent1" w:themeShade="BF"/>
              <w:sz w:val="32"/>
              <w:szCs w:val="32"/>
              <w:lang w:eastAsia="nl-NL"/>
            </w:rPr>
          </w:pPr>
        </w:p>
        <w:p w14:paraId="5F171C1F" w14:textId="77777777" w:rsidR="00EF524F" w:rsidRPr="00EF524F" w:rsidRDefault="00EF524F" w:rsidP="00EF524F">
          <w:pPr>
            <w:suppressAutoHyphens/>
            <w:autoSpaceDN w:val="0"/>
            <w:spacing w:line="256" w:lineRule="auto"/>
            <w:textAlignment w:val="baseline"/>
            <w:rPr>
              <w:rFonts w:ascii="Calibri" w:eastAsia="Calibri" w:hAnsi="Calibri" w:cs="Times New Roman"/>
              <w:lang w:eastAsia="nl-NL"/>
            </w:rPr>
          </w:pPr>
        </w:p>
        <w:p w14:paraId="149EA7BB" w14:textId="77777777" w:rsidR="00EF524F" w:rsidRPr="00EF524F" w:rsidRDefault="00EF524F" w:rsidP="00EF524F">
          <w:pPr>
            <w:tabs>
              <w:tab w:val="right" w:leader="dot" w:pos="9062"/>
            </w:tabs>
            <w:suppressAutoHyphens/>
            <w:autoSpaceDN w:val="0"/>
            <w:spacing w:after="100" w:line="256" w:lineRule="auto"/>
            <w:textAlignment w:val="baseline"/>
            <w:rPr>
              <w:rFonts w:eastAsiaTheme="minorEastAsia"/>
              <w:noProof/>
              <w:lang w:eastAsia="nl-NL"/>
            </w:rPr>
          </w:pPr>
          <w:r w:rsidRPr="00EF524F">
            <w:rPr>
              <w:rFonts w:ascii="Calibri" w:eastAsia="Calibri" w:hAnsi="Calibri" w:cs="Times New Roman"/>
            </w:rPr>
            <w:fldChar w:fldCharType="begin"/>
          </w:r>
          <w:r w:rsidRPr="00EF524F">
            <w:rPr>
              <w:rFonts w:ascii="Calibri" w:eastAsia="Calibri" w:hAnsi="Calibri" w:cs="Times New Roman"/>
            </w:rPr>
            <w:instrText xml:space="preserve"> TOC \o "1-3" \h \z \u </w:instrText>
          </w:r>
          <w:r w:rsidRPr="00EF524F">
            <w:rPr>
              <w:rFonts w:ascii="Calibri" w:eastAsia="Calibri" w:hAnsi="Calibri" w:cs="Times New Roman"/>
            </w:rPr>
            <w:fldChar w:fldCharType="separate"/>
          </w:r>
          <w:hyperlink w:anchor="_Toc489360358" w:history="1">
            <w:r w:rsidRPr="00EF524F">
              <w:rPr>
                <w:rFonts w:ascii="Calibri" w:eastAsia="Calibri" w:hAnsi="Calibri" w:cs="Times New Roman"/>
                <w:noProof/>
                <w:color w:val="0563C1" w:themeColor="hyperlink"/>
                <w:u w:val="single"/>
                <w:lang w:val="en-GB"/>
              </w:rPr>
              <w:t>Abstract.</w:t>
            </w:r>
            <w:r w:rsidRPr="00EF524F">
              <w:rPr>
                <w:rFonts w:ascii="Calibri" w:eastAsia="Calibri" w:hAnsi="Calibri" w:cs="Times New Roman"/>
                <w:noProof/>
                <w:webHidden/>
              </w:rPr>
              <w:tab/>
            </w:r>
            <w:r w:rsidRPr="00EF524F">
              <w:rPr>
                <w:rFonts w:ascii="Calibri" w:eastAsia="Calibri" w:hAnsi="Calibri" w:cs="Times New Roman"/>
                <w:noProof/>
                <w:webHidden/>
              </w:rPr>
              <w:fldChar w:fldCharType="begin"/>
            </w:r>
            <w:r w:rsidRPr="00EF524F">
              <w:rPr>
                <w:rFonts w:ascii="Calibri" w:eastAsia="Calibri" w:hAnsi="Calibri" w:cs="Times New Roman"/>
                <w:noProof/>
                <w:webHidden/>
              </w:rPr>
              <w:instrText xml:space="preserve"> PAGEREF _Toc489360358 \h </w:instrText>
            </w:r>
            <w:r w:rsidRPr="00EF524F">
              <w:rPr>
                <w:rFonts w:ascii="Calibri" w:eastAsia="Calibri" w:hAnsi="Calibri" w:cs="Times New Roman"/>
                <w:noProof/>
                <w:webHidden/>
              </w:rPr>
            </w:r>
            <w:r w:rsidRPr="00EF524F">
              <w:rPr>
                <w:rFonts w:ascii="Calibri" w:eastAsia="Calibri" w:hAnsi="Calibri" w:cs="Times New Roman"/>
                <w:noProof/>
                <w:webHidden/>
              </w:rPr>
              <w:fldChar w:fldCharType="separate"/>
            </w:r>
            <w:r w:rsidR="001A5DF9">
              <w:rPr>
                <w:rFonts w:ascii="Calibri" w:eastAsia="Calibri" w:hAnsi="Calibri" w:cs="Times New Roman"/>
                <w:noProof/>
                <w:webHidden/>
              </w:rPr>
              <w:t>2</w:t>
            </w:r>
            <w:r w:rsidRPr="00EF524F">
              <w:rPr>
                <w:rFonts w:ascii="Calibri" w:eastAsia="Calibri" w:hAnsi="Calibri" w:cs="Times New Roman"/>
                <w:noProof/>
                <w:webHidden/>
              </w:rPr>
              <w:fldChar w:fldCharType="end"/>
            </w:r>
          </w:hyperlink>
        </w:p>
        <w:p w14:paraId="25957BF0"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59" w:history="1">
            <w:r w:rsidR="00EF524F" w:rsidRPr="00EF524F">
              <w:rPr>
                <w:rFonts w:ascii="Calibri" w:eastAsia="Calibri" w:hAnsi="Calibri" w:cs="Times New Roman"/>
                <w:noProof/>
                <w:color w:val="0563C1" w:themeColor="hyperlink"/>
                <w:u w:val="single"/>
                <w:lang w:val="en-GB"/>
              </w:rPr>
              <w:t>Content.</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_Toc489360359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3</w:t>
            </w:r>
            <w:r w:rsidR="00EF524F" w:rsidRPr="00EF524F">
              <w:rPr>
                <w:rFonts w:ascii="Calibri" w:eastAsia="Calibri" w:hAnsi="Calibri" w:cs="Times New Roman"/>
                <w:noProof/>
                <w:webHidden/>
              </w:rPr>
              <w:fldChar w:fldCharType="end"/>
            </w:r>
          </w:hyperlink>
        </w:p>
        <w:p w14:paraId="72C07935"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0" w:history="1">
            <w:r w:rsidR="00EF524F" w:rsidRPr="00EF524F">
              <w:rPr>
                <w:rFonts w:ascii="Calibri" w:eastAsia="Calibri" w:hAnsi="Calibri" w:cs="Times New Roman"/>
                <w:noProof/>
                <w:color w:val="0563C1" w:themeColor="hyperlink"/>
                <w:u w:val="single"/>
                <w:lang w:val="en-GB"/>
              </w:rPr>
              <w:t>Introduction.</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_Toc489360360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4</w:t>
            </w:r>
            <w:r w:rsidR="00EF524F" w:rsidRPr="00EF524F">
              <w:rPr>
                <w:rFonts w:ascii="Calibri" w:eastAsia="Calibri" w:hAnsi="Calibri" w:cs="Times New Roman"/>
                <w:noProof/>
                <w:webHidden/>
              </w:rPr>
              <w:fldChar w:fldCharType="end"/>
            </w:r>
          </w:hyperlink>
        </w:p>
        <w:p w14:paraId="5CF6C9FB"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1" w:history="1">
            <w:r w:rsidR="00EF524F" w:rsidRPr="00EF524F">
              <w:rPr>
                <w:rFonts w:ascii="Calibri" w:eastAsia="Calibri" w:hAnsi="Calibri" w:cs="Times New Roman"/>
                <w:noProof/>
                <w:color w:val="0563C1" w:themeColor="hyperlink"/>
                <w:u w:val="single"/>
                <w:lang w:val="en-GB"/>
              </w:rPr>
              <w:t>Water Contact Angle.</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_Toc489360361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5</w:t>
            </w:r>
            <w:r w:rsidR="00EF524F" w:rsidRPr="00EF524F">
              <w:rPr>
                <w:rFonts w:ascii="Calibri" w:eastAsia="Calibri" w:hAnsi="Calibri" w:cs="Times New Roman"/>
                <w:noProof/>
                <w:webHidden/>
              </w:rPr>
              <w:fldChar w:fldCharType="end"/>
            </w:r>
          </w:hyperlink>
        </w:p>
        <w:p w14:paraId="02AF9966"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2" w:history="1">
            <w:r w:rsidR="00EF524F" w:rsidRPr="00EF524F">
              <w:rPr>
                <w:rFonts w:ascii="Calibri" w:eastAsia="Calibri" w:hAnsi="Calibri" w:cs="Times New Roman"/>
                <w:noProof/>
                <w:color w:val="0563C1" w:themeColor="hyperlink"/>
                <w:u w:val="single"/>
                <w:lang w:val="en-GB"/>
              </w:rPr>
              <w:t>Cassie-Baxter State.</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_Toc489360362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6</w:t>
            </w:r>
            <w:r w:rsidR="00EF524F" w:rsidRPr="00EF524F">
              <w:rPr>
                <w:rFonts w:ascii="Calibri" w:eastAsia="Calibri" w:hAnsi="Calibri" w:cs="Times New Roman"/>
                <w:noProof/>
                <w:webHidden/>
              </w:rPr>
              <w:fldChar w:fldCharType="end"/>
            </w:r>
          </w:hyperlink>
        </w:p>
        <w:p w14:paraId="259C9128"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3" w:history="1">
            <w:r w:rsidR="00EF524F" w:rsidRPr="00EF524F">
              <w:rPr>
                <w:rFonts w:ascii="Calibri" w:eastAsia="Calibri" w:hAnsi="Calibri" w:cs="Times New Roman"/>
                <w:noProof/>
                <w:color w:val="0563C1" w:themeColor="hyperlink"/>
                <w:u w:val="single"/>
                <w:lang w:val="en-GB"/>
              </w:rPr>
              <w:t>Nanopillars</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_Toc489360363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7</w:t>
            </w:r>
            <w:r w:rsidR="00EF524F" w:rsidRPr="00EF524F">
              <w:rPr>
                <w:rFonts w:ascii="Calibri" w:eastAsia="Calibri" w:hAnsi="Calibri" w:cs="Times New Roman"/>
                <w:noProof/>
                <w:webHidden/>
              </w:rPr>
              <w:fldChar w:fldCharType="end"/>
            </w:r>
          </w:hyperlink>
        </w:p>
        <w:p w14:paraId="027980BB"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4" w:history="1">
            <w:r w:rsidR="00EF524F" w:rsidRPr="00EF524F">
              <w:rPr>
                <w:rFonts w:ascii="Calibri" w:eastAsia="Calibri" w:hAnsi="Calibri" w:cs="Times New Roman"/>
                <w:noProof/>
                <w:color w:val="0563C1" w:themeColor="hyperlink"/>
                <w:u w:val="single"/>
              </w:rPr>
              <w:t>Weighting factor of surface properties.</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_Toc489360364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9</w:t>
            </w:r>
            <w:r w:rsidR="00EF524F" w:rsidRPr="00EF524F">
              <w:rPr>
                <w:rFonts w:ascii="Calibri" w:eastAsia="Calibri" w:hAnsi="Calibri" w:cs="Times New Roman"/>
                <w:noProof/>
                <w:webHidden/>
              </w:rPr>
              <w:fldChar w:fldCharType="end"/>
            </w:r>
          </w:hyperlink>
        </w:p>
        <w:p w14:paraId="0A4C3E35"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5" w:history="1">
            <w:r w:rsidR="00EF524F" w:rsidRPr="00EF524F">
              <w:rPr>
                <w:rFonts w:ascii="Calibri" w:eastAsia="Calibri" w:hAnsi="Calibri" w:cs="Times New Roman"/>
                <w:noProof/>
                <w:color w:val="0563C1" w:themeColor="hyperlink"/>
                <w:u w:val="single"/>
                <w:lang w:val="en-GB"/>
              </w:rPr>
              <w:t>Stability of the plastron.</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_Toc489360365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9</w:t>
            </w:r>
            <w:r w:rsidR="00EF524F" w:rsidRPr="00EF524F">
              <w:rPr>
                <w:rFonts w:ascii="Calibri" w:eastAsia="Calibri" w:hAnsi="Calibri" w:cs="Times New Roman"/>
                <w:noProof/>
                <w:webHidden/>
              </w:rPr>
              <w:fldChar w:fldCharType="end"/>
            </w:r>
          </w:hyperlink>
        </w:p>
        <w:p w14:paraId="29FB3A8B"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6" w:history="1">
            <w:r w:rsidR="00EF524F" w:rsidRPr="00EF524F">
              <w:rPr>
                <w:rFonts w:ascii="Calibri" w:eastAsia="Calibri" w:hAnsi="Calibri" w:cs="Times New Roman"/>
                <w:noProof/>
                <w:color w:val="0563C1" w:themeColor="hyperlink"/>
                <w:u w:val="single"/>
                <w:lang w:val="en-US"/>
              </w:rPr>
              <w:t>Bacterial adhesion.</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_Toc489360366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11</w:t>
            </w:r>
            <w:r w:rsidR="00EF524F" w:rsidRPr="00EF524F">
              <w:rPr>
                <w:rFonts w:ascii="Calibri" w:eastAsia="Calibri" w:hAnsi="Calibri" w:cs="Times New Roman"/>
                <w:noProof/>
                <w:webHidden/>
              </w:rPr>
              <w:fldChar w:fldCharType="end"/>
            </w:r>
          </w:hyperlink>
        </w:p>
        <w:p w14:paraId="2601B550"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7" w:history="1">
            <w:r w:rsidR="00EF524F" w:rsidRPr="00EF524F">
              <w:rPr>
                <w:rFonts w:ascii="Calibri" w:eastAsia="Calibri" w:hAnsi="Calibri" w:cs="Times New Roman"/>
                <w:noProof/>
                <w:color w:val="0563C1" w:themeColor="hyperlink"/>
                <w:u w:val="single"/>
                <w:lang w:val="en-GB"/>
              </w:rPr>
              <w:t>Conclusion &amp; Discussion</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_Toc489360367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11</w:t>
            </w:r>
            <w:r w:rsidR="00EF524F" w:rsidRPr="00EF524F">
              <w:rPr>
                <w:rFonts w:ascii="Calibri" w:eastAsia="Calibri" w:hAnsi="Calibri" w:cs="Times New Roman"/>
                <w:noProof/>
                <w:webHidden/>
              </w:rPr>
              <w:fldChar w:fldCharType="end"/>
            </w:r>
          </w:hyperlink>
        </w:p>
        <w:p w14:paraId="2A958BF4" w14:textId="77777777" w:rsidR="00EF524F" w:rsidRPr="00EF524F" w:rsidRDefault="00336FE2" w:rsidP="00EF524F">
          <w:pPr>
            <w:tabs>
              <w:tab w:val="right" w:leader="dot" w:pos="9062"/>
            </w:tabs>
            <w:suppressAutoHyphens/>
            <w:autoSpaceDN w:val="0"/>
            <w:spacing w:after="100" w:line="256" w:lineRule="auto"/>
            <w:textAlignment w:val="baseline"/>
            <w:rPr>
              <w:rFonts w:eastAsiaTheme="minorEastAsia"/>
              <w:noProof/>
              <w:lang w:eastAsia="nl-NL"/>
            </w:rPr>
          </w:pPr>
          <w:hyperlink w:anchor="_Toc489360368" w:history="1">
            <w:r w:rsidR="00EF524F" w:rsidRPr="00EF524F">
              <w:rPr>
                <w:rFonts w:ascii="Calibri" w:eastAsia="Calibri" w:hAnsi="Calibri" w:cs="Times New Roman"/>
                <w:noProof/>
                <w:color w:val="0563C1" w:themeColor="hyperlink"/>
                <w:u w:val="single"/>
                <w:lang w:val="en-GB"/>
              </w:rPr>
              <w:t>References.</w:t>
            </w:r>
            <w:r w:rsidR="00EF524F" w:rsidRPr="00EF524F">
              <w:rPr>
                <w:rFonts w:ascii="Calibri" w:eastAsia="Calibri" w:hAnsi="Calibri" w:cs="Times New Roman"/>
                <w:noProof/>
                <w:webHidden/>
              </w:rPr>
              <w:tab/>
            </w:r>
            <w:r w:rsidR="00EF524F" w:rsidRPr="00EF524F">
              <w:rPr>
                <w:rFonts w:ascii="Calibri" w:eastAsia="Calibri" w:hAnsi="Calibri" w:cs="Times New Roman"/>
                <w:noProof/>
                <w:webHidden/>
              </w:rPr>
              <w:fldChar w:fldCharType="begin"/>
            </w:r>
            <w:r w:rsidR="00EF524F" w:rsidRPr="00EF524F">
              <w:rPr>
                <w:rFonts w:ascii="Calibri" w:eastAsia="Calibri" w:hAnsi="Calibri" w:cs="Times New Roman"/>
                <w:noProof/>
                <w:webHidden/>
              </w:rPr>
              <w:instrText xml:space="preserve"> PAGEREF _Toc489360368 \h </w:instrText>
            </w:r>
            <w:r w:rsidR="00EF524F" w:rsidRPr="00EF524F">
              <w:rPr>
                <w:rFonts w:ascii="Calibri" w:eastAsia="Calibri" w:hAnsi="Calibri" w:cs="Times New Roman"/>
                <w:noProof/>
                <w:webHidden/>
              </w:rPr>
            </w:r>
            <w:r w:rsidR="00EF524F" w:rsidRPr="00EF524F">
              <w:rPr>
                <w:rFonts w:ascii="Calibri" w:eastAsia="Calibri" w:hAnsi="Calibri" w:cs="Times New Roman"/>
                <w:noProof/>
                <w:webHidden/>
              </w:rPr>
              <w:fldChar w:fldCharType="separate"/>
            </w:r>
            <w:r w:rsidR="001A5DF9">
              <w:rPr>
                <w:rFonts w:ascii="Calibri" w:eastAsia="Calibri" w:hAnsi="Calibri" w:cs="Times New Roman"/>
                <w:noProof/>
                <w:webHidden/>
              </w:rPr>
              <w:t>13</w:t>
            </w:r>
            <w:r w:rsidR="00EF524F" w:rsidRPr="00EF524F">
              <w:rPr>
                <w:rFonts w:ascii="Calibri" w:eastAsia="Calibri" w:hAnsi="Calibri" w:cs="Times New Roman"/>
                <w:noProof/>
                <w:webHidden/>
              </w:rPr>
              <w:fldChar w:fldCharType="end"/>
            </w:r>
          </w:hyperlink>
        </w:p>
        <w:p w14:paraId="4626CF38" w14:textId="77777777" w:rsidR="00EF524F" w:rsidRPr="00EF524F" w:rsidRDefault="00EF524F" w:rsidP="00EF524F">
          <w:pPr>
            <w:suppressAutoHyphens/>
            <w:autoSpaceDN w:val="0"/>
            <w:spacing w:line="256" w:lineRule="auto"/>
            <w:textAlignment w:val="baseline"/>
            <w:rPr>
              <w:rFonts w:ascii="Calibri" w:eastAsia="Calibri" w:hAnsi="Calibri" w:cs="Times New Roman"/>
            </w:rPr>
          </w:pPr>
          <w:r w:rsidRPr="00EF524F">
            <w:rPr>
              <w:rFonts w:ascii="Calibri" w:eastAsia="Calibri" w:hAnsi="Calibri" w:cs="Times New Roman"/>
              <w:b/>
              <w:bCs/>
            </w:rPr>
            <w:fldChar w:fldCharType="end"/>
          </w:r>
        </w:p>
      </w:sdtContent>
    </w:sdt>
    <w:p w14:paraId="59E862AF"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431EB2BC"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0BBBA400"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388F5557"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6DC9AD10"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6D01436F"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6484E6A5"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59912261"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2FE0C64B"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5D240A07"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4AA1A621" w14:textId="77777777" w:rsidR="00EF524F" w:rsidRPr="00EF524F" w:rsidRDefault="00EF524F" w:rsidP="00EF524F">
      <w:pPr>
        <w:keepNext/>
        <w:keepLines/>
        <w:suppressAutoHyphens/>
        <w:autoSpaceDN w:val="0"/>
        <w:spacing w:before="240" w:after="0" w:line="256" w:lineRule="auto"/>
        <w:textAlignment w:val="baseline"/>
        <w:outlineLvl w:val="0"/>
        <w:rPr>
          <w:rFonts w:ascii="Calibri" w:eastAsia="Calibri" w:hAnsi="Calibri" w:cs="Times New Roman"/>
          <w:lang w:val="en-GB"/>
        </w:rPr>
      </w:pPr>
    </w:p>
    <w:p w14:paraId="366F15EF"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5EA93269"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1BFFD604" w14:textId="77777777" w:rsidR="00EF524F" w:rsidRPr="00EF524F" w:rsidRDefault="00EF524F" w:rsidP="00EF524F">
      <w:pPr>
        <w:autoSpaceDN w:val="0"/>
        <w:spacing w:line="256" w:lineRule="auto"/>
        <w:textAlignment w:val="baseline"/>
        <w:rPr>
          <w:rFonts w:ascii="Calibri Light" w:eastAsia="Times New Roman" w:hAnsi="Calibri Light" w:cs="Times New Roman"/>
          <w:color w:val="2E74B5"/>
          <w:sz w:val="32"/>
          <w:szCs w:val="32"/>
          <w:lang w:val="en-GB"/>
        </w:rPr>
      </w:pPr>
      <w:bookmarkStart w:id="2" w:name="_Toc489360360"/>
      <w:r w:rsidRPr="00EF524F">
        <w:rPr>
          <w:rFonts w:ascii="Calibri" w:eastAsia="Calibri" w:hAnsi="Calibri" w:cs="Times New Roman"/>
          <w:lang w:val="en-GB"/>
        </w:rPr>
        <w:br w:type="page"/>
      </w:r>
    </w:p>
    <w:p w14:paraId="40C21232" w14:textId="77777777" w:rsidR="00EF524F" w:rsidRPr="00EF524F" w:rsidRDefault="00EF524F" w:rsidP="00EF524F">
      <w:pPr>
        <w:keepNext/>
        <w:keepLines/>
        <w:suppressAutoHyphens/>
        <w:autoSpaceDN w:val="0"/>
        <w:spacing w:before="240" w:after="0" w:line="256" w:lineRule="auto"/>
        <w:textAlignment w:val="baseline"/>
        <w:outlineLvl w:val="0"/>
        <w:rPr>
          <w:rFonts w:ascii="Calibri Light" w:eastAsia="Times New Roman" w:hAnsi="Calibri Light" w:cs="Times New Roman"/>
          <w:color w:val="2E74B5"/>
          <w:sz w:val="32"/>
          <w:szCs w:val="32"/>
          <w:lang w:val="en-GB"/>
        </w:rPr>
      </w:pPr>
      <w:r w:rsidRPr="00EF524F">
        <w:rPr>
          <w:rFonts w:ascii="Calibri Light" w:eastAsia="Times New Roman" w:hAnsi="Calibri Light" w:cs="Times New Roman"/>
          <w:color w:val="2E74B5"/>
          <w:sz w:val="32"/>
          <w:szCs w:val="32"/>
          <w:lang w:val="en-GB"/>
        </w:rPr>
        <w:lastRenderedPageBreak/>
        <w:t>Introduction.</w:t>
      </w:r>
      <w:bookmarkEnd w:id="2"/>
    </w:p>
    <w:p w14:paraId="7040F196" w14:textId="77777777" w:rsidR="00EF524F" w:rsidRPr="00EF524F" w:rsidRDefault="00EF524F" w:rsidP="00EF524F">
      <w:pPr>
        <w:suppressAutoHyphens/>
        <w:autoSpaceDN w:val="0"/>
        <w:spacing w:line="256" w:lineRule="auto"/>
        <w:textAlignment w:val="baseline"/>
        <w:rPr>
          <w:rFonts w:ascii="Calibri" w:eastAsia="Calibri" w:hAnsi="Calibri" w:cs="Times New Roman"/>
          <w:sz w:val="20"/>
          <w:szCs w:val="20"/>
          <w:lang w:val="en-GB"/>
        </w:rPr>
      </w:pPr>
    </w:p>
    <w:p w14:paraId="0680F724" w14:textId="5F33AA3D"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The phenomenon of superhydrophobicity was first reported in the 30’ (Schmidt, </w:t>
      </w:r>
      <w:proofErr w:type="spellStart"/>
      <w:r w:rsidRPr="00EF524F">
        <w:rPr>
          <w:rFonts w:ascii="Calibri" w:eastAsia="Calibri" w:hAnsi="Calibri" w:cs="Times New Roman"/>
          <w:sz w:val="20"/>
          <w:szCs w:val="20"/>
          <w:lang w:val="en-GB"/>
        </w:rPr>
        <w:t>Schurig</w:t>
      </w:r>
      <w:proofErr w:type="spellEnd"/>
      <w:r w:rsidRPr="00EF524F">
        <w:rPr>
          <w:rFonts w:ascii="Calibri" w:eastAsia="Calibri" w:hAnsi="Calibri" w:cs="Times New Roman"/>
          <w:sz w:val="20"/>
          <w:szCs w:val="20"/>
          <w:lang w:val="en-GB"/>
        </w:rPr>
        <w:t xml:space="preserve">, &amp; </w:t>
      </w:r>
      <w:proofErr w:type="spellStart"/>
      <w:r w:rsidRPr="00EF524F">
        <w:rPr>
          <w:rFonts w:ascii="Calibri" w:eastAsia="Calibri" w:hAnsi="Calibri" w:cs="Times New Roman"/>
          <w:sz w:val="20"/>
          <w:szCs w:val="20"/>
          <w:lang w:val="en-GB"/>
        </w:rPr>
        <w:t>Sellschopp</w:t>
      </w:r>
      <w:proofErr w:type="spellEnd"/>
      <w:r w:rsidRPr="00EF524F">
        <w:rPr>
          <w:rFonts w:ascii="Calibri" w:eastAsia="Calibri" w:hAnsi="Calibri" w:cs="Times New Roman"/>
          <w:sz w:val="20"/>
          <w:szCs w:val="20"/>
          <w:lang w:val="en-GB"/>
        </w:rPr>
        <w:t xml:space="preserve">, 1930), although it was only until 1997 that this field of study regained a remarkable interest since the publication of the “Lotus effect’’ of </w:t>
      </w:r>
      <w:proofErr w:type="spellStart"/>
      <w:r w:rsidRPr="00EF524F">
        <w:rPr>
          <w:rFonts w:ascii="Calibri" w:eastAsia="Calibri" w:hAnsi="Calibri" w:cs="Times New Roman"/>
          <w:sz w:val="20"/>
          <w:szCs w:val="20"/>
          <w:lang w:val="en-GB"/>
        </w:rPr>
        <w:t>Barthlott</w:t>
      </w:r>
      <w:proofErr w:type="spellEnd"/>
      <w:r w:rsidRPr="00EF524F">
        <w:rPr>
          <w:rFonts w:ascii="Calibri" w:eastAsia="Calibri" w:hAnsi="Calibri" w:cs="Times New Roman"/>
          <w:sz w:val="20"/>
          <w:szCs w:val="20"/>
          <w:lang w:val="en-GB"/>
        </w:rPr>
        <w:t>. (</w:t>
      </w:r>
      <w:proofErr w:type="spellStart"/>
      <w:r w:rsidRPr="00EF524F">
        <w:rPr>
          <w:rFonts w:ascii="Calibri" w:eastAsia="Calibri" w:hAnsi="Calibri" w:cs="Times New Roman"/>
          <w:sz w:val="20"/>
          <w:szCs w:val="20"/>
          <w:lang w:val="en-GB"/>
        </w:rPr>
        <w:t>Barthlott</w:t>
      </w:r>
      <w:proofErr w:type="spellEnd"/>
      <w:r w:rsidRPr="00EF524F">
        <w:rPr>
          <w:rFonts w:ascii="Calibri" w:eastAsia="Calibri" w:hAnsi="Calibri" w:cs="Times New Roman"/>
          <w:sz w:val="20"/>
          <w:szCs w:val="20"/>
          <w:lang w:val="en-GB"/>
        </w:rPr>
        <w:t xml:space="preserve"> and </w:t>
      </w:r>
      <w:proofErr w:type="spellStart"/>
      <w:r w:rsidRPr="00EF524F">
        <w:rPr>
          <w:rFonts w:ascii="Calibri" w:eastAsia="Calibri" w:hAnsi="Calibri" w:cs="Times New Roman"/>
          <w:sz w:val="20"/>
          <w:szCs w:val="20"/>
          <w:lang w:val="en-GB"/>
        </w:rPr>
        <w:t>Neinhuis</w:t>
      </w:r>
      <w:proofErr w:type="spellEnd"/>
      <w:r w:rsidRPr="00EF524F">
        <w:rPr>
          <w:rFonts w:ascii="Calibri" w:eastAsia="Calibri" w:hAnsi="Calibri" w:cs="Times New Roman"/>
          <w:sz w:val="20"/>
          <w:szCs w:val="20"/>
          <w:lang w:val="en-GB"/>
        </w:rPr>
        <w:t xml:space="preserve"> 1997). A droplet of water deposited on the Lotus’ surface, transforms into nearly perfect sphere that effortlessly rolls of the surface while removing any dust. The droplets clean the surface without humidifying it, referring to the self-cleaning effect </w:t>
      </w:r>
      <w:r w:rsidRPr="002341C4">
        <w:rPr>
          <w:rFonts w:ascii="Calibri" w:eastAsia="Calibri" w:hAnsi="Calibri" w:cs="Times New Roman"/>
          <w:i/>
          <w:color w:val="5B9BD5" w:themeColor="accent1"/>
          <w:sz w:val="20"/>
          <w:szCs w:val="20"/>
          <w:lang w:val="en-GB"/>
        </w:rPr>
        <w:t>(Figure 1)</w:t>
      </w:r>
      <w:r w:rsidRPr="00EF524F">
        <w:rPr>
          <w:rFonts w:ascii="Calibri" w:eastAsia="Calibri" w:hAnsi="Calibri" w:cs="Times New Roman"/>
          <w:sz w:val="20"/>
          <w:szCs w:val="20"/>
          <w:lang w:val="en-GB"/>
        </w:rPr>
        <w:t xml:space="preserve">. Above all, the Lotus even has self-repairing properties after mechanical damage, by releasing wax-like structures. From then, the leaf of the Lotus plant became the initial signature of superhydrophobicity. Besides plants, many other natural surfaces are equipped with this superhydrophobic property. Varying from </w:t>
      </w:r>
      <w:r w:rsidR="002341C4" w:rsidRPr="00EF524F">
        <w:rPr>
          <w:rFonts w:ascii="Calibri" w:eastAsia="Calibri" w:hAnsi="Calibri" w:cs="Times New Roman"/>
          <w:sz w:val="20"/>
          <w:szCs w:val="20"/>
          <w:lang w:val="en-GB"/>
        </w:rPr>
        <w:t>birds’</w:t>
      </w:r>
      <w:r w:rsidRPr="00EF524F">
        <w:rPr>
          <w:rFonts w:ascii="Calibri" w:eastAsia="Calibri" w:hAnsi="Calibri" w:cs="Times New Roman"/>
          <w:sz w:val="20"/>
          <w:szCs w:val="20"/>
          <w:lang w:val="en-GB"/>
        </w:rPr>
        <w:t xml:space="preserve"> feathers which remain dry after a dive in the ocean to hunt for fish, to spiders who are able to breathe through air bubbles caused by superhydrophobic properties. Subsequently the surface properties of the upper epidermis of the Lotus leaf were widely investigated to reveal its surface optimization features. On the surface, the water droplet rests on a composite layer made of solid and air, resulting in the formation of a nearly spherical water droplet. Due to the optimized shape of the Lotus leaf, the droplet rolls of immediately, which resembles ‘the Lotus effect’.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"10.3762/bjnano.2.19", "ISSN" : "2190-4286", "PMID" : "21977427", "abstract" : "Lotus leaves have become an icon for superhydrophobicity and self-cleaning surfaces, and have led to the concept of the 'Lotus effect'. Although many other plants have superhydrophobic surfaces with almost similar contact angles, the lotus shows better stability and perfection of its water repellency. Here, we compare the relevant properties such as the micro- and nano-structure, the chemical composition of the waxes and the mechanical properties of lotus with its competitors. It soon becomes obvious that the upper epidermis of the lotus leaf has developed some unrivaled optimizations. The extraordinary shape and the density of the papillae are the basis for the extremely reduced contact area between surface and water drops. The exceptional dense layer of very small epicuticular wax tubules is a result of their unique chemical composition. The mechanical robustness of the papillae and the wax tubules reduce damage and are the basis for the perfection and durability of the water repellency. A reason for the optimization, particularly of the upper side of the lotus leaf, can be deduced from the fact that the stomata are located in the upper epidermis. Here, the impact of rain and contamination is higher than on the lower epidermis. The lotus plant has successfully developed an excellent protection for this delicate epistomatic surface of its leaves.", "author" : [ { "dropping-particle" : "", "family" : "Ensikat", "given" : "Hans J", "non-dropping-particle" : "", "parse-names" : false, "suffix" : "" }, { "dropping-particle" : "", "family" : "Ditsche-Kuru", "given" : "Petra", "non-dropping-particle" : "", "parse-names" : false, "suffix" : "" }, { "dropping-particle" : "", "family" : "Neinhuis", "given" : "Christoph", "non-dropping-particle" : "", "parse-names" : false, "suffix" : "" }, { "dropping-particle" : "", "family" : "Barthlott", "given" : "Wilhelm", "non-dropping-particle" : "", "parse-names" : false, "suffix" : "" } ], "container-title" : "Beilstein journal of nanotechnology", "id" : "ITEM-1", "issued" : { "date-parts" : [ [ "2011" ] ] }, "page" : "152-61", "publisher" : "Beilstein-Institut", "title" : "Superhydrophobicity in perfection: the outstanding properties of the lotus leaf.", "type" : "article-journal", "volume" : "2" }, "uris" : [ "http://www.mendeley.com/documents/?uuid=f2c5918a-3e3e-3b83-a1c4-57f86b588519" ] } ], "mendeley" : { "formattedCitation" : "(Ensikat et al. 2011)", "plainTextFormattedCitation" : "(Ensikat et al. 2011)", "previouslyFormattedCitation" : "(Ensikat et al. 2011)"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(Ensikat et al. 2011)</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w:t>
      </w:r>
    </w:p>
    <w:p w14:paraId="1C95C612"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38DC578A"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lang w:val="en-GB"/>
        </w:rPr>
      </w:pPr>
      <w:r w:rsidRPr="00EF524F">
        <w:rPr>
          <w:rFonts w:ascii="Calibri" w:eastAsia="Calibri" w:hAnsi="Calibri" w:cs="Times New Roman"/>
          <w:noProof/>
          <w:lang w:eastAsia="nl-NL"/>
        </w:rPr>
        <w:drawing>
          <wp:anchor distT="0" distB="0" distL="114300" distR="114300" simplePos="0" relativeHeight="251659264" behindDoc="0" locked="0" layoutInCell="1" allowOverlap="1" wp14:anchorId="021BD150" wp14:editId="4D4455DF">
            <wp:simplePos x="0" y="0"/>
            <wp:positionH relativeFrom="margin">
              <wp:align>left</wp:align>
            </wp:positionH>
            <wp:positionV relativeFrom="paragraph">
              <wp:posOffset>15480</wp:posOffset>
            </wp:positionV>
            <wp:extent cx="2974975" cy="2689860"/>
            <wp:effectExtent l="0" t="0" r="0" b="0"/>
            <wp:wrapThrough wrapText="bothSides">
              <wp:wrapPolygon edited="0">
                <wp:start x="0" y="0"/>
                <wp:lineTo x="0" y="21416"/>
                <wp:lineTo x="21439" y="21416"/>
                <wp:lineTo x="21439" y="0"/>
                <wp:lineTo x="0" y="0"/>
              </wp:wrapPolygon>
            </wp:wrapThrough>
            <wp:docPr id="3" name="Afbeelding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l="55250" t="26521" r="26040" b="42286"/>
                    <a:stretch>
                      <a:fillRect/>
                    </a:stretch>
                  </pic:blipFill>
                  <pic:spPr>
                    <a:xfrm>
                      <a:off x="0" y="0"/>
                      <a:ext cx="2977822" cy="2692214"/>
                    </a:xfrm>
                    <a:prstGeom prst="rect">
                      <a:avLst/>
                    </a:prstGeom>
                    <a:noFill/>
                    <a:ln>
                      <a:noFill/>
                      <a:prstDash/>
                    </a:ln>
                  </pic:spPr>
                </pic:pic>
              </a:graphicData>
            </a:graphic>
          </wp:anchor>
        </w:drawing>
      </w:r>
      <w:r w:rsidRPr="00EF524F">
        <w:rPr>
          <w:rFonts w:ascii="Calibri" w:eastAsia="Calibri" w:hAnsi="Calibri" w:cs="Times New Roman"/>
          <w:sz w:val="20"/>
          <w:szCs w:val="20"/>
          <w:lang w:val="en-GB"/>
        </w:rPr>
        <w:t xml:space="preserve">In the last decade, the advancements and utility of superhydrophobic materials have been significant. The potential of superhydrophobic materials are of interest for various fields of study and industries. </w:t>
      </w:r>
    </w:p>
    <w:p w14:paraId="7817090B" w14:textId="029D902A" w:rsidR="00EF524F" w:rsidRPr="00EF524F" w:rsidRDefault="00EF524F" w:rsidP="00EF524F">
      <w:pPr>
        <w:suppressAutoHyphens/>
        <w:autoSpaceDN w:val="0"/>
        <w:spacing w:line="256" w:lineRule="auto"/>
        <w:jc w:val="both"/>
        <w:textAlignment w:val="baseline"/>
        <w:rPr>
          <w:rFonts w:ascii="Calibri" w:eastAsia="Calibri" w:hAnsi="Calibri" w:cs="Times New Roman"/>
          <w:lang w:val="en-GB"/>
        </w:rPr>
      </w:pPr>
      <w:r w:rsidRPr="00EF524F">
        <w:rPr>
          <w:rFonts w:ascii="Calibri" w:eastAsia="Calibri" w:hAnsi="Calibri" w:cs="Times New Roman"/>
          <w:noProof/>
          <w:sz w:val="20"/>
          <w:szCs w:val="20"/>
          <w:lang w:eastAsia="nl-NL"/>
        </w:rPr>
        <mc:AlternateContent>
          <mc:Choice Requires="wps">
            <w:drawing>
              <wp:anchor distT="0" distB="0" distL="114300" distR="114300" simplePos="0" relativeHeight="251660288" behindDoc="0" locked="0" layoutInCell="1" allowOverlap="1" wp14:anchorId="3BF638F9" wp14:editId="382D32E9">
                <wp:simplePos x="0" y="0"/>
                <wp:positionH relativeFrom="margin">
                  <wp:posOffset>-35560</wp:posOffset>
                </wp:positionH>
                <wp:positionV relativeFrom="paragraph">
                  <wp:posOffset>1913255</wp:posOffset>
                </wp:positionV>
                <wp:extent cx="3000375" cy="671195"/>
                <wp:effectExtent l="0" t="0" r="0" b="0"/>
                <wp:wrapSquare wrapText="bothSides"/>
                <wp:docPr id="4" name="Tekstvak 2"/>
                <wp:cNvGraphicFramePr/>
                <a:graphic xmlns:a="http://schemas.openxmlformats.org/drawingml/2006/main">
                  <a:graphicData uri="http://schemas.microsoft.com/office/word/2010/wordprocessingShape">
                    <wps:wsp>
                      <wps:cNvSpPr txBox="1"/>
                      <wps:spPr>
                        <a:xfrm>
                          <a:off x="0" y="0"/>
                          <a:ext cx="3000375" cy="671195"/>
                        </a:xfrm>
                        <a:prstGeom prst="rect">
                          <a:avLst/>
                        </a:prstGeom>
                        <a:noFill/>
                        <a:ln>
                          <a:noFill/>
                          <a:prstDash/>
                        </a:ln>
                      </wps:spPr>
                      <wps:txbx>
                        <w:txbxContent>
                          <w:p w14:paraId="6E4052FD" w14:textId="77777777" w:rsidR="00EF524F" w:rsidRPr="00152658" w:rsidRDefault="00EF524F" w:rsidP="00EF524F">
                            <w:pPr>
                              <w:pBdr>
                                <w:top w:val="single" w:sz="36" w:space="7" w:color="000000"/>
                                <w:bottom w:val="single" w:sz="18" w:space="6" w:color="A8D08D"/>
                              </w:pBdr>
                              <w:spacing w:after="0"/>
                              <w:rPr>
                                <w:lang w:val="en-GB"/>
                              </w:rPr>
                            </w:pPr>
                            <w:r>
                              <w:rPr>
                                <w:rStyle w:val="PlaceholderText"/>
                                <w:i/>
                                <w:iCs/>
                                <w:color w:val="5B9BD5"/>
                                <w:sz w:val="18"/>
                                <w:szCs w:val="18"/>
                                <w:lang w:val="en-GB"/>
                              </w:rPr>
                              <w:t xml:space="preserve">Fig. 1 </w:t>
                            </w:r>
                            <w:r>
                              <w:rPr>
                                <w:rStyle w:val="PlaceholderText"/>
                                <w:i/>
                                <w:iCs/>
                                <w:color w:val="404040"/>
                                <w:sz w:val="18"/>
                                <w:szCs w:val="18"/>
                                <w:lang w:val="en-GB"/>
                              </w:rPr>
                              <w:t xml:space="preserve">a) the Lotus leaf. b) Scanning Electron Microscopy shows surface structure. c) Wax tubules on leaf surface.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BF638F9" id="_x0000_s1027" type="#_x0000_t202" style="position:absolute;left:0;text-align:left;margin-left:-2.8pt;margin-top:150.65pt;width:236.25pt;height:5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" filled="f" stroked="f">
                <v:textbox>
                  <w:txbxContent>
                    <w:p w14:paraId="6E4052FD" w14:textId="77777777" w:rsidR="00EF524F" w:rsidRPr="00152658" w:rsidRDefault="00EF524F" w:rsidP="00EF524F">
                      <w:pPr>
                        <w:pBdr>
                          <w:top w:val="single" w:sz="36" w:space="7" w:color="000000"/>
                          <w:bottom w:val="single" w:sz="18" w:space="6" w:color="A8D08D"/>
                        </w:pBdr>
                        <w:spacing w:after="0"/>
                        <w:rPr>
                          <w:lang w:val="en-GB"/>
                        </w:rPr>
                      </w:pPr>
                      <w:r>
                        <w:rPr>
                          <w:rStyle w:val="Tekstvantijdelijkeaanduiding"/>
                          <w:i/>
                          <w:iCs/>
                          <w:color w:val="5B9BD5"/>
                          <w:sz w:val="18"/>
                          <w:szCs w:val="18"/>
                          <w:lang w:val="en-GB"/>
                        </w:rPr>
                        <w:t xml:space="preserve">Fig. 1 </w:t>
                      </w:r>
                      <w:r>
                        <w:rPr>
                          <w:rStyle w:val="Tekstvantijdelijkeaanduiding"/>
                          <w:i/>
                          <w:iCs/>
                          <w:color w:val="404040"/>
                          <w:sz w:val="18"/>
                          <w:szCs w:val="18"/>
                          <w:lang w:val="en-GB"/>
                        </w:rPr>
                        <w:t xml:space="preserve">a) the Lotus leaf. b) Scanning Electron Microscopy shows surface structure. c) Wax tubules on leaf surface. </w:t>
                      </w:r>
                    </w:p>
                  </w:txbxContent>
                </v:textbox>
                <w10:wrap type="square" anchorx="margin"/>
              </v:shape>
            </w:pict>
          </mc:Fallback>
        </mc:AlternateContent>
      </w:r>
      <w:r w:rsidRPr="00EF524F">
        <w:rPr>
          <w:rFonts w:ascii="Calibri" w:eastAsia="Calibri" w:hAnsi="Calibri" w:cs="Times New Roman"/>
          <w:sz w:val="20"/>
          <w:szCs w:val="20"/>
          <w:lang w:val="en-GB"/>
        </w:rPr>
        <w:t xml:space="preserve">In particular in the field of tissue engineering and Regenerative Medicine, the superhydrophobic surfaces have the favourable feature of preventing the adhesion of proteins and cells, such as bacteria. Superhydrophobic coatings belongs in the type of anti-adhesive coatings. An advantage of superhydrophobic coating is their ability to </w:t>
      </w:r>
      <w:r w:rsidR="002341C4" w:rsidRPr="00EF524F">
        <w:rPr>
          <w:rFonts w:ascii="Calibri" w:eastAsia="Calibri" w:hAnsi="Calibri" w:cs="Times New Roman"/>
          <w:sz w:val="20"/>
          <w:szCs w:val="20"/>
          <w:lang w:val="en-GB"/>
        </w:rPr>
        <w:t>reduce biofilm</w:t>
      </w:r>
      <w:r w:rsidRPr="00EF524F">
        <w:rPr>
          <w:rFonts w:ascii="Calibri" w:eastAsia="Calibri" w:hAnsi="Calibri" w:cs="Times New Roman"/>
          <w:sz w:val="20"/>
          <w:szCs w:val="20"/>
          <w:lang w:val="en-GB"/>
        </w:rPr>
        <w:t xml:space="preserve"> formation under fluctuating shear, depending on the strain involved. This property is of particular interest for implanted prostheses, or cochlear implants for example. A superhydrophobic surface is said to prevent the adhesion of bacteria as they need a transport medium, such as water to initially bound to a surface. From the moment bacteria adhere to a biomaterial, they surround themselves in an extracellular polymeric substances matrix (EPS), this matrix provides shelter against the host immune system, detachment forces and even against high levels of antibiotics.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"10.1038/ijos.2014.65", "ISBN" : "1674-2818 (Print)\\r1674-2818 (Linking)", "ISSN" : "1674-2818", "PMID" : "25504208", "abstract" : "Formation of biofilm is a survival strategy for bacteria and fungi to adapt to their living environment, especially in the hostile environment. Under the protection of biofilm, microbial cells in biofilm become tolerant and resistant to antibiotics and the immune responses, which increases the difficulties for the clinical treatment of biofilm infections. Clinical and laboratory investigations demonstrated a perspicuous correlation between biofilm infection and medical foreign bodies or indwelling devices. Clinical observations and experimental studies indicated clearly that antibiotic treatment alone is in most cases insufficient to eradicate biofilm infections. Therefore, to effectively treat biofilm infections with currently available antibiotics and evaluate the outcomes become important and urgent for clinicians. The review summarizes the latest progress in treatment of clinical biofilm infections and scientific investigations, discusses the diagnosis and treatment of different biofilm infections and introduces the promising laboratory progress, which may contribute to prevention or cure of biofilm infections. We conclude that, an efficient treatment of biofilm infections needs a well-established multidisciplinary collaboration, which includes removal of the infected foreign bodies, selection of biofilm-active, sensitive and well-penetrating antibiotics, systemic or topical antibiotic administration in high dosage and combinations, and administration of anti-quorum sensing or biofilm dispersal agents.", "author" : [ { "dropping-particle" : "", "family" : "Wu", "given" : "Hong", "non-dropping-particle" : "", "parse-names" : false, "suffix" : "" }, { "dropping-particle" : "", "family" : "Moser", "given" : "Claus", "non-dropping-particle" : "", "parse-names" : false, "suffix" : "" }, { "dropping-particle" : "", "family" : "Wang", "given" : "Heng-Zhuang", "non-dropping-particle" : "", "parse-names" : false, "suffix" : "" }, { "dropping-particle" : "", "family" : "H\u00f8iby", "given" : "Niels", "non-dropping-particle" : "", "parse-names" : false, "suffix" : "" }, { "dropping-particle" : "", "family" : "Song", "given" : "Zhi-Jun", "non-dropping-particle" : "", "parse-names" : false, "suffix" : "" } ], "container-title" : "International Journal of Oral Science", "id" : "ITEM-1", "issue" : "1", "issued" : { "date-parts" : [ [ "2014" ] ] }, "page" : "1-7", "title" : "Strategies for combating bacterial biofilm infections", "type" : "article-journal", "volume" : "7" }, "uris" : [ "http://www.mendeley.com/documents/?uuid=da697fed-ee93-4e3f-bef8-e0180ec0f7b2" ] } ], "mendeley" : { "formattedCitation" : "(Wu et al. 2014)", "plainTextFormattedCitation" : "(Wu et al. 2014)", "previouslyFormattedCitation" : "(Wu et al. 2014)"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(Wu et al. 2014)</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Biofilms on biomaterials implant and devices and biomedical equipment could result in a high morbidity or even mortality to the imp</w:t>
      </w:r>
      <w:r w:rsidR="002341C4">
        <w:rPr>
          <w:rFonts w:ascii="Calibri" w:eastAsia="Calibri" w:hAnsi="Calibri" w:cs="Times New Roman"/>
          <w:sz w:val="20"/>
          <w:szCs w:val="20"/>
          <w:lang w:val="en-GB"/>
        </w:rPr>
        <w:t>lant host. This would lead to a</w:t>
      </w:r>
      <w:r w:rsidRPr="00EF524F">
        <w:rPr>
          <w:rFonts w:ascii="Calibri" w:eastAsia="Calibri" w:hAnsi="Calibri" w:cs="Times New Roman"/>
          <w:sz w:val="20"/>
          <w:szCs w:val="20"/>
          <w:lang w:val="en-GB"/>
        </w:rPr>
        <w:t xml:space="preserve"> noteworthy decrease in the failure of medical implants and therefore the operation costs. However, the use of superhydrophobic surfaces for biological of industrial application seem to inhibit by contradictive results of the cell-adhesion behaviour and stability. Even more, superhydrophobic coating also have the disadvantage of not enabling tissue integration. As the population is ageing quickly, the demand for medical devices has been rapidly increased. Understanding the relationship between the external factors involved in cellular responses and protein adsorption to superhydrophobic materials are crucial to determine their biocompatibility in the tissue-specific region. For example, for biomaterials implanted to interact with blood, such as in blood vessels or with artificial hearts, it is necessary for the biomaterial to not induce plasma protein adhesion to prevent thrombosis.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"10.1128/AEM.03436-12", "ISSN" : "1098-5336", "PMID" : "23416997", "abstract" : "Attachment and biofilm formation by bacterial pathogens on surfaces in natural, industrial, and hospital settings lead to infections and illnesses and even death. Minimizing bacterial attachment to surfaces using controlled topography could reduce the spreading of pathogens and, thus, the incidence of illnesses and subsequent human and financial losses. In this context, the attachment of key microorganisms, including Escherichia coli, Listeria innocua, and Pseudomonas fluorescens, to silica and alumina surfaces with micron and nanoscale topography was investigated. The results suggest that orientation of the attached cells occurs preferentially such as to maximize their contact area with the surface. Moreover, the bacterial cells exhibited different morphologies, including different number and size of cellular appendages, depending on the topographical details of the surface to which they attached. This suggests that bacteria may utilize different mechanisms of attachment in response to surface topography. These results are important for the design of novel microbe-repellant materials.", "author" : [ { "dropping-particle" : "", "family" : "Hsu", "given" : "Lillian C", "non-dropping-particle" : "", "parse-names" : false, "suffix" : "" }, { "dropping-particle" : "", "family" : "Fang", "given" : "Jean", "non-dropping-particle" : "", "parse-names" : false, "suffix" : "" }, { "dropping-particle" : "", "family" : "Borca-Tasciuc", "given" : "Diana A", "non-dropping-particle" : "", "parse-names" : false, "suffix" : "" }, { "dropping-particle" : "", "family" : "Worobo", "given" : "Randy W", "non-dropping-particle" : "", "parse-names" : false, "suffix" : "" }, { "dropping-particle" : "", "family" : "Moraru", "given" : "Carmen I", "non-dropping-particle" : "", "parse-names" : false, "suffix" : "" } ], "container-title" : "Applied and environmental microbiology", "id" : "ITEM-1", "issue" : "8", "issued" : { "date-parts" : [ [ "2013", "4", "15" ] ] }, "page" : "2703-12", "publisher" : "American Society for Microbiology", "title" : "Effect of micro- and nanoscale topography on the adhesion of bacterial cells to solid surfaces.", "type" : "article-journal", "volume" : "79" }, "uris" : [ "http://www.mendeley.com/documents/?uuid=d90827ce-66bf-34f9-be1b-9388c2ed2c61" ] } ], "mendeley" : { "formattedCitation" : "(Hsu et al. 2013)", "plainTextFormattedCitation" : "(Hsu et al. 2013)", "previouslyFormattedCitation" : "(Hsu et al. 2013)"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(Hsu et al. 2013)</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To elucidate the challenges in cell-adhesive behaviour on superhydrophobic surfaces, publications should be enquired thoroughly. Detailed understanding of surface interfaces and adherence behaviour will provide the necessary information for a rational design of implantable medical devices or medical </w:t>
      </w:r>
      <w:r w:rsidRPr="00EF524F">
        <w:rPr>
          <w:rFonts w:ascii="Calibri" w:eastAsia="Calibri" w:hAnsi="Calibri" w:cs="Times New Roman"/>
          <w:sz w:val="20"/>
          <w:szCs w:val="20"/>
          <w:lang w:val="en-GB"/>
        </w:rPr>
        <w:lastRenderedPageBreak/>
        <w:t>tools. (</w:t>
      </w:r>
      <w:proofErr w:type="spellStart"/>
      <w:r w:rsidRPr="00EF524F">
        <w:rPr>
          <w:rFonts w:ascii="Calibri" w:eastAsia="Calibri" w:hAnsi="Calibri" w:cs="Times New Roman"/>
          <w:sz w:val="20"/>
          <w:szCs w:val="20"/>
          <w:lang w:val="en-GB"/>
        </w:rPr>
        <w:t>Thevenot</w:t>
      </w:r>
      <w:proofErr w:type="spellEnd"/>
      <w:r w:rsidRPr="00EF524F">
        <w:rPr>
          <w:rFonts w:ascii="Calibri" w:eastAsia="Calibri" w:hAnsi="Calibri" w:cs="Times New Roman"/>
          <w:sz w:val="20"/>
          <w:szCs w:val="20"/>
          <w:lang w:val="en-GB"/>
        </w:rPr>
        <w:t xml:space="preserve">, Hu, &amp; Tang, 2008) This is fundamental in order to establish an accelerated use of superhydrophobic in real-life tissue-engineering and regenerative medicinal applications. In this review, the superhydrophobic effect is explained by the Cassie-Baxter and Wenzel wetting states. Besides, adhesive factors involved in the integrity of superhydrophobic properties and cell adhesion behaviour are discussed. In the end, suggestions are made to uniform the testing methods of superhydrophobic properties, and to develop protocols, as these are the key sources for a better clarification on cell-adhesive behaviour on superhydrophobic properties. </w:t>
      </w:r>
    </w:p>
    <w:p w14:paraId="26C2E8E1"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1E6CB936" w14:textId="77777777" w:rsidR="00EF524F" w:rsidRPr="00EF524F" w:rsidRDefault="00EF524F" w:rsidP="00EF524F">
      <w:pPr>
        <w:keepNext/>
        <w:keepLines/>
        <w:suppressAutoHyphens/>
        <w:autoSpaceDN w:val="0"/>
        <w:spacing w:before="40" w:after="0" w:line="256" w:lineRule="auto"/>
        <w:textAlignment w:val="baseline"/>
        <w:outlineLvl w:val="1"/>
        <w:rPr>
          <w:rFonts w:asciiTheme="majorHAnsi" w:eastAsiaTheme="majorEastAsia" w:hAnsiTheme="majorHAnsi" w:cstheme="majorBidi"/>
          <w:color w:val="2E74B5" w:themeColor="accent1" w:themeShade="BF"/>
          <w:sz w:val="32"/>
          <w:szCs w:val="26"/>
          <w:lang w:val="en-GB"/>
        </w:rPr>
      </w:pPr>
      <w:bookmarkStart w:id="3" w:name="_Toc489360361"/>
      <w:r w:rsidRPr="00EF524F">
        <w:rPr>
          <w:rFonts w:asciiTheme="majorHAnsi" w:eastAsiaTheme="majorEastAsia" w:hAnsiTheme="majorHAnsi" w:cstheme="majorBidi"/>
          <w:color w:val="2E74B5" w:themeColor="accent1" w:themeShade="BF"/>
          <w:sz w:val="32"/>
          <w:szCs w:val="26"/>
          <w:lang w:val="en-GB"/>
        </w:rPr>
        <w:t>Water Contact Angle.</w:t>
      </w:r>
      <w:bookmarkEnd w:id="3"/>
    </w:p>
    <w:p w14:paraId="4C0A0C4E" w14:textId="7A883215" w:rsidR="00EF524F" w:rsidRPr="00EF524F" w:rsidRDefault="00EF524F" w:rsidP="00EF524F">
      <w:pPr>
        <w:suppressAutoHyphens/>
        <w:autoSpaceDN w:val="0"/>
        <w:spacing w:line="256" w:lineRule="auto"/>
        <w:jc w:val="both"/>
        <w:textAlignment w:val="baseline"/>
        <w:rPr>
          <w:rFonts w:ascii="Calibri" w:eastAsia="Calibri" w:hAnsi="Calibri" w:cs="Times New Roman"/>
          <w:lang w:val="en-GB"/>
        </w:rPr>
      </w:pPr>
      <w:r w:rsidRPr="00EF524F">
        <w:rPr>
          <w:rFonts w:ascii="Calibri" w:eastAsia="Calibri" w:hAnsi="Calibri" w:cs="Times New Roman"/>
          <w:sz w:val="20"/>
          <w:szCs w:val="20"/>
          <w:lang w:val="en-GB"/>
        </w:rPr>
        <w:br/>
        <w:t xml:space="preserve">To define wettability, the Water Contact Angle (CA) </w:t>
      </w:r>
      <w:r w:rsidRPr="00EF524F">
        <w:rPr>
          <w:rFonts w:ascii="Calibri" w:eastAsia="Calibri" w:hAnsi="Calibri" w:cs="Times New Roman"/>
          <w:i/>
          <w:color w:val="4472C4"/>
          <w:sz w:val="20"/>
          <w:szCs w:val="20"/>
          <w:lang w:val="en-GB"/>
        </w:rPr>
        <w:t>(Figure 2a)</w:t>
      </w:r>
      <w:r w:rsidRPr="00EF524F">
        <w:rPr>
          <w:rFonts w:ascii="Calibri" w:eastAsia="Calibri" w:hAnsi="Calibri" w:cs="Times New Roman"/>
          <w:color w:val="4472C4"/>
          <w:sz w:val="20"/>
          <w:szCs w:val="20"/>
          <w:lang w:val="en-GB"/>
        </w:rPr>
        <w:t xml:space="preserve"> </w:t>
      </w:r>
      <w:r w:rsidRPr="00EF524F">
        <w:rPr>
          <w:rFonts w:ascii="Calibri" w:eastAsia="Calibri" w:hAnsi="Calibri" w:cs="Times New Roman"/>
          <w:sz w:val="20"/>
          <w:szCs w:val="20"/>
          <w:lang w:val="en-GB"/>
        </w:rPr>
        <w:t xml:space="preserve">of a surface is the main used method for characterization.  The CA is a measure of the surface tensions the between the solid-vapour solid-liquid or liquid-vapour interfaces (Young 1805).  In general, if the </w:t>
      </w:r>
      <w:r w:rsidR="002341C4" w:rsidRPr="00EF524F">
        <w:rPr>
          <w:rFonts w:ascii="Calibri" w:eastAsia="Calibri" w:hAnsi="Calibri" w:cs="Times New Roman"/>
          <w:sz w:val="20"/>
          <w:szCs w:val="20"/>
          <w:lang w:val="en-GB"/>
        </w:rPr>
        <w:t>CA is</w:t>
      </w:r>
      <w:r w:rsidRPr="00EF524F">
        <w:rPr>
          <w:rFonts w:ascii="Calibri" w:eastAsia="Calibri" w:hAnsi="Calibri" w:cs="Times New Roman"/>
          <w:sz w:val="20"/>
          <w:szCs w:val="20"/>
          <w:lang w:val="en-GB"/>
        </w:rPr>
        <w:t xml:space="preserve"> 0 ≤ θ &lt; 90, the surface is termed hydrophilic, whereas if the CA </w:t>
      </w:r>
      <w:r w:rsidR="002341C4" w:rsidRPr="00EF524F">
        <w:rPr>
          <w:rFonts w:ascii="Calibri" w:eastAsia="Calibri" w:hAnsi="Calibri" w:cs="Times New Roman"/>
          <w:sz w:val="20"/>
          <w:szCs w:val="20"/>
          <w:lang w:val="en-GB"/>
        </w:rPr>
        <w:t>90 ≤</w:t>
      </w:r>
      <w:r w:rsidRPr="00EF524F">
        <w:rPr>
          <w:rFonts w:ascii="Calibri" w:eastAsia="Calibri" w:hAnsi="Calibri" w:cs="Times New Roman"/>
          <w:sz w:val="20"/>
          <w:szCs w:val="20"/>
          <w:lang w:val="en-GB"/>
        </w:rPr>
        <w:t xml:space="preserve"> θ &lt; 150 the surface is termed hydrophobic. Furthermore, superhydrophobic surfaces are commonly defined as a surface with a CA of &gt; 150°.  Although, strictly following this terminology, a surface with a water contact angle of 89 ° is called ‘’water loving’’, but changes into ‘’’water fearing’’ with only 2° increase to 91° water contact angle. Even though this is a widely used and recognizable definition, the boundary seems not to be strongly supported with technical data. Is this strict boundary proven to have a molecular origin? And how does a change of only 2° affect the expected cell-adhesive behaviour? The CA is well-known to be affected by the surface chemistry and surface geometry (Bracco &amp; Holst, 2013). Commonly, the CA is measured with water in a liquid phase, both statically and dynamically. In the statically measurement, a droplet is placed on the solid composite surface, and measurement without any further manipulation. Where as in the dynamically CA measurement, the droplet size and volume is being modified. The measurement of the CA is favourable, as it is inexpensive, rapid and easy to learn. With goniometers, cameras and drop shape analyses the CA is most commonly measured (Kwok &amp; Neumann, 1999). Even though the measurement of the water contact angle is easy to use, mistakes and inaccuracies still remain present (Kwok et al., 1998). Using the water contact angle alone, like some publications do, have arisen a lot of discussions, other reports explain the limitations of the current water contact angle measurements. </w:t>
      </w:r>
    </w:p>
    <w:p w14:paraId="3886F550"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lang w:val="en-GB"/>
        </w:rPr>
      </w:pPr>
      <w:r w:rsidRPr="00EF524F">
        <w:rPr>
          <w:rFonts w:ascii="Calibri" w:eastAsia="Calibri" w:hAnsi="Calibri" w:cs="Times New Roman"/>
          <w:noProof/>
          <w:lang w:eastAsia="nl-NL"/>
        </w:rPr>
        <w:drawing>
          <wp:anchor distT="0" distB="0" distL="114300" distR="114300" simplePos="0" relativeHeight="251661312" behindDoc="0" locked="0" layoutInCell="1" allowOverlap="1" wp14:anchorId="124E37A1" wp14:editId="5DB8C406">
            <wp:simplePos x="0" y="0"/>
            <wp:positionH relativeFrom="margin">
              <wp:posOffset>2718435</wp:posOffset>
            </wp:positionH>
            <wp:positionV relativeFrom="paragraph">
              <wp:posOffset>1370330</wp:posOffset>
            </wp:positionV>
            <wp:extent cx="3142615" cy="2625725"/>
            <wp:effectExtent l="0" t="0" r="635" b="3175"/>
            <wp:wrapThrough wrapText="bothSides">
              <wp:wrapPolygon edited="0">
                <wp:start x="0" y="0"/>
                <wp:lineTo x="0" y="21469"/>
                <wp:lineTo x="21473" y="21469"/>
                <wp:lineTo x="21473" y="0"/>
                <wp:lineTo x="0" y="0"/>
              </wp:wrapPolygon>
            </wp:wrapThrough>
            <wp:docPr id="6"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l="32292" t="21429" r="33900" b="21157"/>
                    <a:stretch>
                      <a:fillRect/>
                    </a:stretch>
                  </pic:blipFill>
                  <pic:spPr>
                    <a:xfrm>
                      <a:off x="0" y="0"/>
                      <a:ext cx="3142615" cy="2625725"/>
                    </a:xfrm>
                    <a:prstGeom prst="rect">
                      <a:avLst/>
                    </a:prstGeom>
                    <a:noFill/>
                    <a:ln>
                      <a:noFill/>
                      <a:prstDash/>
                    </a:ln>
                  </pic:spPr>
                </pic:pic>
              </a:graphicData>
            </a:graphic>
            <wp14:sizeRelV relativeFrom="margin">
              <wp14:pctHeight>0</wp14:pctHeight>
            </wp14:sizeRelV>
          </wp:anchor>
        </w:drawing>
      </w:r>
      <w:r w:rsidRPr="00EF524F">
        <w:rPr>
          <w:rFonts w:ascii="Calibri" w:eastAsia="Calibri" w:hAnsi="Calibri" w:cs="Times New Roman"/>
          <w:noProof/>
          <w:color w:val="808080"/>
          <w:lang w:eastAsia="nl-NL"/>
        </w:rPr>
        <mc:AlternateContent>
          <mc:Choice Requires="wps">
            <w:drawing>
              <wp:anchor distT="0" distB="0" distL="114300" distR="114300" simplePos="0" relativeHeight="251662336" behindDoc="0" locked="0" layoutInCell="1" allowOverlap="1" wp14:anchorId="1444FE49" wp14:editId="35DC03C6">
                <wp:simplePos x="0" y="0"/>
                <wp:positionH relativeFrom="margin">
                  <wp:align>left</wp:align>
                </wp:positionH>
                <wp:positionV relativeFrom="paragraph">
                  <wp:posOffset>1369695</wp:posOffset>
                </wp:positionV>
                <wp:extent cx="2648585" cy="2720975"/>
                <wp:effectExtent l="0" t="0" r="0" b="3175"/>
                <wp:wrapSquare wrapText="bothSides"/>
                <wp:docPr id="5" name="Tekstvak 2"/>
                <wp:cNvGraphicFramePr/>
                <a:graphic xmlns:a="http://schemas.openxmlformats.org/drawingml/2006/main">
                  <a:graphicData uri="http://schemas.microsoft.com/office/word/2010/wordprocessingShape">
                    <wps:wsp>
                      <wps:cNvSpPr txBox="1"/>
                      <wps:spPr>
                        <a:xfrm>
                          <a:off x="0" y="0"/>
                          <a:ext cx="2648585" cy="2720975"/>
                        </a:xfrm>
                        <a:prstGeom prst="rect">
                          <a:avLst/>
                        </a:prstGeom>
                        <a:noFill/>
                        <a:ln>
                          <a:noFill/>
                          <a:prstDash/>
                        </a:ln>
                      </wps:spPr>
                      <wps:txbx>
                        <w:txbxContent>
                          <w:p w14:paraId="45007D99" w14:textId="77777777" w:rsidR="00EF524F" w:rsidRPr="00152658" w:rsidRDefault="00EF524F" w:rsidP="00EF524F">
                            <w:pPr>
                              <w:pBdr>
                                <w:top w:val="single" w:sz="36" w:space="6" w:color="000000"/>
                                <w:bottom w:val="single" w:sz="18" w:space="6" w:color="A8D08D"/>
                              </w:pBdr>
                              <w:spacing w:after="0"/>
                              <w:jc w:val="both"/>
                              <w:rPr>
                                <w:lang w:val="en-GB"/>
                              </w:rPr>
                            </w:pPr>
                            <w:r>
                              <w:rPr>
                                <w:rStyle w:val="PlaceholderText"/>
                                <w:i/>
                                <w:iCs/>
                                <w:color w:val="5B9BD5"/>
                                <w:sz w:val="18"/>
                                <w:szCs w:val="18"/>
                                <w:lang w:val="en-GB"/>
                              </w:rPr>
                              <w:t xml:space="preserve">Fig. 2.  </w:t>
                            </w:r>
                            <w:r>
                              <w:rPr>
                                <w:rStyle w:val="PlaceholderText"/>
                                <w:i/>
                                <w:iCs/>
                                <w:color w:val="404040"/>
                                <w:sz w:val="18"/>
                                <w:szCs w:val="18"/>
                                <w:lang w:val="en-GB"/>
                              </w:rPr>
                              <w:t>A: Respectively the Cassie Baxter state and the Wenzel State of a water droplet. The Cassie Baxter state was obtained by a placement with little force, while the Wenzel state was formed by force with impact. B: Graph showing the Gibbs free energy per state. H stands for the ratio of height of the air-liquid interface with respect to the maximum height of the surface. Θ stands for the contact angle. This schematic shows the energetic barrier between the Cassie Baxter state (red) and the Wenzel state (blue).</w:t>
                            </w:r>
                          </w:p>
                          <w:p w14:paraId="3EDF27A8" w14:textId="77777777" w:rsidR="00EF524F" w:rsidRDefault="00EF524F" w:rsidP="00EF524F">
                            <w:pPr>
                              <w:pBdr>
                                <w:top w:val="single" w:sz="36" w:space="6" w:color="000000"/>
                                <w:bottom w:val="single" w:sz="18" w:space="6" w:color="A8D08D"/>
                              </w:pBdr>
                              <w:spacing w:after="0"/>
                            </w:pPr>
                            <w:r>
                              <w:rPr>
                                <w:rStyle w:val="PlaceholderText"/>
                                <w:iCs/>
                                <w:color w:val="404040"/>
                                <w:sz w:val="18"/>
                                <w:szCs w:val="18"/>
                                <w:lang w:val="en-GB"/>
                              </w:rPr>
                              <w:t>(</w:t>
                            </w:r>
                            <w:proofErr w:type="spellStart"/>
                            <w:r>
                              <w:rPr>
                                <w:rStyle w:val="PlaceholderText"/>
                                <w:iCs/>
                                <w:color w:val="404040"/>
                                <w:sz w:val="18"/>
                                <w:szCs w:val="18"/>
                                <w:lang w:val="en-GB"/>
                              </w:rPr>
                              <w:t>Scarratt</w:t>
                            </w:r>
                            <w:proofErr w:type="spellEnd"/>
                            <w:r>
                              <w:rPr>
                                <w:rStyle w:val="PlaceholderText"/>
                                <w:iCs/>
                                <w:color w:val="404040"/>
                                <w:sz w:val="18"/>
                                <w:szCs w:val="18"/>
                                <w:lang w:val="en-GB"/>
                              </w:rPr>
                              <w:t xml:space="preserve"> et al., 2017)</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444FE49" id="_x0000_s1028" type="#_x0000_t202" style="position:absolute;left:0;text-align:left;margin-left:0;margin-top:107.85pt;width:208.55pt;height:214.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" filled="f" stroked="f">
                <v:textbox>
                  <w:txbxContent>
                    <w:p w14:paraId="45007D99" w14:textId="77777777" w:rsidR="00EF524F" w:rsidRPr="00152658" w:rsidRDefault="00EF524F" w:rsidP="00EF524F">
                      <w:pPr>
                        <w:pBdr>
                          <w:top w:val="single" w:sz="36" w:space="6" w:color="000000"/>
                          <w:bottom w:val="single" w:sz="18" w:space="6" w:color="A8D08D"/>
                        </w:pBdr>
                        <w:spacing w:after="0"/>
                        <w:jc w:val="both"/>
                        <w:rPr>
                          <w:lang w:val="en-GB"/>
                        </w:rPr>
                      </w:pPr>
                      <w:r>
                        <w:rPr>
                          <w:rStyle w:val="Tekstvantijdelijkeaanduiding"/>
                          <w:i/>
                          <w:iCs/>
                          <w:color w:val="5B9BD5"/>
                          <w:sz w:val="18"/>
                          <w:szCs w:val="18"/>
                          <w:lang w:val="en-GB"/>
                        </w:rPr>
                        <w:t xml:space="preserve">Fig. 2.  </w:t>
                      </w:r>
                      <w:r>
                        <w:rPr>
                          <w:rStyle w:val="Tekstvantijdelijkeaanduiding"/>
                          <w:i/>
                          <w:iCs/>
                          <w:color w:val="404040"/>
                          <w:sz w:val="18"/>
                          <w:szCs w:val="18"/>
                          <w:lang w:val="en-GB"/>
                        </w:rPr>
                        <w:t>A: Respectively the Cassie Baxter state and the Wenzel State of a water droplet. The Cassie Baxter state was obtained by a placement with little force, while the Wenzel state was formed by force with impact. B: Graph showing the Gibbs free energy per state. H stands for the ratio of height of the air-liquid interface with respect to the maximum height of the surface. Θ stands for the contact angle. This schematic shows the energetic barrier between the Cassie Baxter state (red) and the Wenzel state (blue).</w:t>
                      </w:r>
                    </w:p>
                    <w:p w14:paraId="3EDF27A8" w14:textId="77777777" w:rsidR="00EF524F" w:rsidRDefault="00EF524F" w:rsidP="00EF524F">
                      <w:pPr>
                        <w:pBdr>
                          <w:top w:val="single" w:sz="36" w:space="6" w:color="000000"/>
                          <w:bottom w:val="single" w:sz="18" w:space="6" w:color="A8D08D"/>
                        </w:pBdr>
                        <w:spacing w:after="0"/>
                      </w:pPr>
                      <w:r>
                        <w:rPr>
                          <w:rStyle w:val="Tekstvantijdelijkeaanduiding"/>
                          <w:iCs/>
                          <w:color w:val="404040"/>
                          <w:sz w:val="18"/>
                          <w:szCs w:val="18"/>
                          <w:lang w:val="en-GB"/>
                        </w:rPr>
                        <w:t>(</w:t>
                      </w:r>
                      <w:proofErr w:type="spellStart"/>
                      <w:r>
                        <w:rPr>
                          <w:rStyle w:val="Tekstvantijdelijkeaanduiding"/>
                          <w:iCs/>
                          <w:color w:val="404040"/>
                          <w:sz w:val="18"/>
                          <w:szCs w:val="18"/>
                          <w:lang w:val="en-GB"/>
                        </w:rPr>
                        <w:t>Scarratt</w:t>
                      </w:r>
                      <w:proofErr w:type="spellEnd"/>
                      <w:r>
                        <w:rPr>
                          <w:rStyle w:val="Tekstvantijdelijkeaanduiding"/>
                          <w:iCs/>
                          <w:color w:val="404040"/>
                          <w:sz w:val="18"/>
                          <w:szCs w:val="18"/>
                          <w:lang w:val="en-GB"/>
                        </w:rPr>
                        <w:t xml:space="preserve"> et al., 2017)</w:t>
                      </w:r>
                    </w:p>
                  </w:txbxContent>
                </v:textbox>
                <w10:wrap type="square" anchorx="margin"/>
              </v:shape>
            </w:pict>
          </mc:Fallback>
        </mc:AlternateContent>
      </w:r>
      <w:r w:rsidRPr="00EF524F">
        <w:rPr>
          <w:rFonts w:ascii="Calibri" w:eastAsia="Calibri" w:hAnsi="Calibri" w:cs="Times New Roman"/>
          <w:sz w:val="20"/>
          <w:szCs w:val="20"/>
          <w:lang w:val="en-GB"/>
        </w:rPr>
        <w:t>There is no widespread agreement on the droplet volume used to assess the water contact angle. Even the influence of gravity can be hazard in the perception of superhydrophobicity. The Novel Gravity model indicates that the change in volume, results in a change of internal hydrostatic pressure and therefore affects the droplet morphology. (Hu, Liu, &amp; Zhang</w:t>
      </w:r>
      <w:proofErr w:type="gramStart"/>
      <w:r w:rsidRPr="00EF524F">
        <w:rPr>
          <w:rFonts w:ascii="Calibri" w:eastAsia="Calibri" w:hAnsi="Calibri" w:cs="Times New Roman"/>
          <w:sz w:val="20"/>
          <w:szCs w:val="20"/>
          <w:lang w:val="en-GB"/>
        </w:rPr>
        <w:t>, )</w:t>
      </w:r>
      <w:proofErr w:type="gramEnd"/>
      <w:r w:rsidRPr="00EF524F">
        <w:rPr>
          <w:rFonts w:ascii="Calibri" w:eastAsia="Calibri" w:hAnsi="Calibri" w:cs="Times New Roman"/>
          <w:sz w:val="20"/>
          <w:szCs w:val="20"/>
          <w:lang w:val="en-GB"/>
        </w:rPr>
        <w:t xml:space="preserve"> Hence, that this droplet deformation is caused by the volume of the droplet and its gravitational force rather than reflection the real surface wetting situation. This could manipulate the judgement of superhydrophobicity, and when used as a biomaterial will result in unexpected and probably unwanted cell-adherence behaviour.  </w:t>
      </w:r>
    </w:p>
    <w:p w14:paraId="2C7DC3E6" w14:textId="77777777" w:rsidR="00EF524F" w:rsidRPr="00EF524F" w:rsidRDefault="00EF524F" w:rsidP="00EF524F">
      <w:pPr>
        <w:keepNext/>
        <w:keepLines/>
        <w:suppressAutoHyphens/>
        <w:autoSpaceDN w:val="0"/>
        <w:spacing w:before="40" w:after="0" w:line="256" w:lineRule="auto"/>
        <w:textAlignment w:val="baseline"/>
        <w:outlineLvl w:val="1"/>
        <w:rPr>
          <w:rFonts w:asciiTheme="majorHAnsi" w:eastAsiaTheme="majorEastAsia" w:hAnsiTheme="majorHAnsi" w:cstheme="majorBidi"/>
          <w:color w:val="2E74B5" w:themeColor="accent1" w:themeShade="BF"/>
          <w:sz w:val="32"/>
          <w:szCs w:val="26"/>
          <w:lang w:val="en-GB"/>
        </w:rPr>
      </w:pPr>
      <w:bookmarkStart w:id="4" w:name="_Toc489360362"/>
      <w:r w:rsidRPr="00EF524F">
        <w:rPr>
          <w:rFonts w:asciiTheme="majorHAnsi" w:eastAsiaTheme="majorEastAsia" w:hAnsiTheme="majorHAnsi" w:cstheme="majorBidi"/>
          <w:color w:val="2E74B5" w:themeColor="accent1" w:themeShade="BF"/>
          <w:sz w:val="32"/>
          <w:szCs w:val="26"/>
          <w:lang w:val="en-GB"/>
        </w:rPr>
        <w:lastRenderedPageBreak/>
        <w:t>Cassie-Baxter State.</w:t>
      </w:r>
      <w:bookmarkEnd w:id="4"/>
    </w:p>
    <w:p w14:paraId="6FD10D1E"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41F12B70" w14:textId="41A0F3D1"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To mimic superhydrophobic surfaces inspired by nature, such as the Lotus leaf or gecko feet hairs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"10.1098/rsta.2007.2173", "ISBN" : "1364-503X", "ISSN" : "1364-503X", "PMID" : "18192170", "abstract" : "If geckos had not evolved, it is possible that humans would never have invented adhesive nanostructures. Geckos use millions of adhesive setae on their toes to climb vertical surfaces at speeds of over 1ms-1. Climbing presents a significant challenge for an adhesive in requiring both strong attachment and easy rapid removal. Conventional pressure-sensitive adhesives (PSAs) are either strong and difficult to remove (e.g. duct tape) or weak and easy to remove (e.g. sticky notes). The gecko adhesive differs dramatically from conventional adhesives. Conventional PSAs are soft viscoelastic polymers that degrade, foul, self-adhere and attach accidentally to inappropriate surfaces. In contrast, gecko toes bear angled arrays of branched, hair-like setae formed from stiff, hydrophobic keratin that act as a bed of angled springs with similar effective elastic modulus to that of PSAs. Setae are self-cleaning and maintain function for months during repeated use in dirty conditions. Setae are an anisotropic 'frictional adhesive' in that adhesion requires maintenance of a proximally directed shear load, enabling either a tough bond or spontaneous detachment. Gecko-like synthetic adhesives may become the glue of the future-and perhaps the screw of the future as well.", "author" : [ { "dropping-particle" : "", "family" : "Autumn", "given" : "K.", "non-dropping-particle" : "", "parse-names" : false, "suffix" : "" }, { "dropping-particle" : "", "family" : "Gravish", "given" : "N.", "non-dropping-particle" : "", "parse-names" : false, "suffix" : "" } ], "container-title" : "Philosophical Transactions of the Royal Society A: Mathematical, Physical and Engineering Sciences", "id" : "ITEM-1", "issue" : "1870", "issued" : { "date-parts" : [ [ "2008" ] ] }, "page" : "1575-1590", "title" : "Gecko adhesion: evolutionary nanotechnology", "type" : "article-journal", "volume" : "366" }, "uris" : [ "http://www.mendeley.com/documents/?uuid=0bffe4fa-fb41-4767-9fbd-671a295a6085" ] } ], "mendeley" : { "formattedCitation" : "(Autumn and Gravish 2008)", "plainTextFormattedCitation" : "(Autumn and Gravish 2008)", "previouslyFormattedCitation" : "(Autumn and Gravish 2008)"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(Autumn and Gravish 2008)</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researchers have developed various methods. The superhydrophobic effect cannot be achieved by simply choosing the correct material. To acquire this property, the material needs an ordinary low-surface energy, and therefore needs surface modification. The importance</w:t>
      </w:r>
      <w:r w:rsidR="002341C4">
        <w:rPr>
          <w:rFonts w:ascii="Calibri" w:eastAsia="Calibri" w:hAnsi="Calibri" w:cs="Times New Roman"/>
          <w:sz w:val="20"/>
          <w:szCs w:val="20"/>
          <w:lang w:val="en-GB"/>
        </w:rPr>
        <w:t xml:space="preserve"> of the nanoscale roughness has</w:t>
      </w:r>
      <w:r w:rsidRPr="00EF524F">
        <w:rPr>
          <w:rFonts w:ascii="Calibri" w:eastAsia="Calibri" w:hAnsi="Calibri" w:cs="Times New Roman"/>
          <w:sz w:val="20"/>
          <w:szCs w:val="20"/>
          <w:lang w:val="en-GB"/>
        </w:rPr>
        <w:t xml:space="preserve"> been widely reported (</w:t>
      </w:r>
      <w:proofErr w:type="spellStart"/>
      <w:r w:rsidRPr="00EF524F">
        <w:rPr>
          <w:rFonts w:ascii="Calibri" w:eastAsia="Calibri" w:hAnsi="Calibri" w:cs="Times New Roman"/>
          <w:sz w:val="20"/>
          <w:szCs w:val="20"/>
          <w:lang w:val="en-GB"/>
        </w:rPr>
        <w:t>Kuo</w:t>
      </w:r>
      <w:proofErr w:type="spellEnd"/>
      <w:r w:rsidRPr="00EF524F">
        <w:rPr>
          <w:rFonts w:ascii="Calibri" w:eastAsia="Calibri" w:hAnsi="Calibri" w:cs="Times New Roman"/>
          <w:sz w:val="20"/>
          <w:szCs w:val="20"/>
          <w:lang w:val="en-GB"/>
        </w:rPr>
        <w:t xml:space="preserve">, </w:t>
      </w:r>
      <w:proofErr w:type="spellStart"/>
      <w:r w:rsidRPr="00EF524F">
        <w:rPr>
          <w:rFonts w:ascii="Calibri" w:eastAsia="Calibri" w:hAnsi="Calibri" w:cs="Times New Roman"/>
          <w:sz w:val="20"/>
          <w:szCs w:val="20"/>
          <w:lang w:val="en-GB"/>
        </w:rPr>
        <w:t>Chueh</w:t>
      </w:r>
      <w:proofErr w:type="spellEnd"/>
      <w:r w:rsidRPr="00EF524F">
        <w:rPr>
          <w:rFonts w:ascii="Calibri" w:eastAsia="Calibri" w:hAnsi="Calibri" w:cs="Times New Roman"/>
          <w:sz w:val="20"/>
          <w:szCs w:val="20"/>
          <w:lang w:val="en-GB"/>
        </w:rPr>
        <w:t xml:space="preserve">, &amp; Chen, 2014). All methods are focused on obtaining a favourable surface roughness, inspired by the Cassie-Baxter and Wenzel models. In 1936 Wenzel suggested that the effective surface area will increase as the roughness of the surface increases. Therefore, water will spread more on a rough hydrophilic substrate to increase the solid-liquid contact, and spread less on a rough hydrophobic substrate to decrease the solid-liquid contact. </w:t>
      </w:r>
    </w:p>
    <w:p w14:paraId="5C1C451F"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lang w:val="en-GB"/>
        </w:rPr>
      </w:pPr>
      <w:r w:rsidRPr="00EF524F">
        <w:rPr>
          <w:rFonts w:ascii="Calibri" w:eastAsia="Calibri" w:hAnsi="Calibri" w:cs="Times New Roman"/>
          <w:sz w:val="20"/>
          <w:szCs w:val="20"/>
          <w:lang w:val="en-GB"/>
        </w:rPr>
        <w:t xml:space="preserve">The CB state is also seen on the lotus leaf, where an increased surface roughness results in the trapping of air (termed a plastron) between the solid composite and the water droplets </w:t>
      </w:r>
      <w:r w:rsidRPr="00EF524F">
        <w:rPr>
          <w:rFonts w:ascii="Calibri" w:eastAsia="Calibri" w:hAnsi="Calibri" w:cs="Times New Roman"/>
          <w:i/>
          <w:color w:val="5B9BD5" w:themeColor="accent1"/>
          <w:sz w:val="20"/>
          <w:szCs w:val="20"/>
          <w:lang w:val="en-GB"/>
        </w:rPr>
        <w:t>(Figure 3).</w:t>
      </w:r>
      <w:r w:rsidRPr="00EF524F">
        <w:rPr>
          <w:rFonts w:ascii="Calibri" w:eastAsia="Calibri" w:hAnsi="Calibri" w:cs="Times New Roman"/>
          <w:color w:val="5B9BD5" w:themeColor="accent1"/>
          <w:sz w:val="20"/>
          <w:szCs w:val="20"/>
          <w:lang w:val="en-GB"/>
        </w:rPr>
        <w:t xml:space="preserve"> </w:t>
      </w:r>
      <w:r w:rsidRPr="00EF524F">
        <w:rPr>
          <w:rFonts w:ascii="Calibri" w:eastAsia="Calibri" w:hAnsi="Calibri" w:cs="Times New Roman"/>
          <w:sz w:val="20"/>
          <w:szCs w:val="20"/>
          <w:lang w:val="en-GB"/>
        </w:rPr>
        <w:t xml:space="preserve">This state is then thermodynamically favoured, as the system would be in a higher energy state when all of the hydrophobic substrate would be in contact with water, termed the Wenzel state </w:t>
      </w:r>
      <w:r w:rsidRPr="00EF524F">
        <w:rPr>
          <w:rFonts w:ascii="Calibri" w:eastAsia="Calibri" w:hAnsi="Calibri" w:cs="Times New Roman"/>
          <w:i/>
          <w:color w:val="5B9BD5" w:themeColor="accent1"/>
          <w:sz w:val="20"/>
          <w:szCs w:val="20"/>
          <w:lang w:val="en-GB"/>
        </w:rPr>
        <w:t>(Figure 2b).</w:t>
      </w:r>
      <w:r w:rsidRPr="00EF524F">
        <w:rPr>
          <w:rFonts w:ascii="Calibri" w:eastAsia="Calibri" w:hAnsi="Calibri" w:cs="Times New Roman"/>
          <w:color w:val="5B9BD5" w:themeColor="accent1"/>
          <w:sz w:val="20"/>
          <w:szCs w:val="20"/>
          <w:lang w:val="en-GB"/>
        </w:rPr>
        <w:t xml:space="preserve"> </w:t>
      </w:r>
      <w:r w:rsidRPr="00EF524F">
        <w:rPr>
          <w:rFonts w:ascii="Calibri" w:eastAsia="Calibri" w:hAnsi="Calibri" w:cs="Times New Roman"/>
          <w:sz w:val="20"/>
          <w:szCs w:val="20"/>
          <w:lang w:val="en-GB"/>
        </w:rPr>
        <w:t>This effect is essential for the understanding of cell-adherence behaviour on superhydrophobic surfaces. The modification methods to obtain this surface property can be grouped in ‘top down’ or a ‘bottom up’ approach. For the top down approach, the surface is modified through the removing of material to increase the surface roughness. Several methods have been developed by use of external power such as, templating, lithography, thermal heating, UV light irradiation, electrochemical etching or plasma treatment (</w:t>
      </w:r>
      <w:proofErr w:type="spellStart"/>
      <w:r w:rsidRPr="00EF524F">
        <w:rPr>
          <w:rFonts w:ascii="Calibri" w:eastAsia="Calibri" w:hAnsi="Calibri" w:cs="Times New Roman"/>
          <w:sz w:val="20"/>
          <w:szCs w:val="20"/>
          <w:lang w:val="en-GB"/>
        </w:rPr>
        <w:t>Scarratt</w:t>
      </w:r>
      <w:proofErr w:type="spellEnd"/>
      <w:r w:rsidRPr="00EF524F">
        <w:rPr>
          <w:rFonts w:ascii="Calibri" w:eastAsia="Calibri" w:hAnsi="Calibri" w:cs="Times New Roman"/>
          <w:sz w:val="20"/>
          <w:szCs w:val="20"/>
          <w:lang w:val="en-GB"/>
        </w:rPr>
        <w:t xml:space="preserve">, Steiner, &amp; </w:t>
      </w:r>
      <w:proofErr w:type="spellStart"/>
      <w:r w:rsidRPr="00EF524F">
        <w:rPr>
          <w:rFonts w:ascii="Calibri" w:eastAsia="Calibri" w:hAnsi="Calibri" w:cs="Times New Roman"/>
          <w:sz w:val="20"/>
          <w:szCs w:val="20"/>
          <w:lang w:val="en-GB"/>
        </w:rPr>
        <w:t>Neto</w:t>
      </w:r>
      <w:proofErr w:type="spellEnd"/>
      <w:r w:rsidRPr="00EF524F">
        <w:rPr>
          <w:rFonts w:ascii="Calibri" w:eastAsia="Calibri" w:hAnsi="Calibri" w:cs="Times New Roman"/>
          <w:sz w:val="20"/>
          <w:szCs w:val="20"/>
          <w:lang w:val="en-GB"/>
        </w:rPr>
        <w:t>, 2017). The widely most notable top-down approach to compose superhydrophobic surfaces is lithography. Several versions of lithography have been developed over the years and are known for their easy and pinpoint control of topography properties and morphology.  The modification principal of all versions is similar; exposure of electromagnetic radiation, which results in chemical changes in the surface molecular structure. (</w:t>
      </w:r>
      <w:proofErr w:type="spellStart"/>
      <w:r w:rsidRPr="00EF524F">
        <w:rPr>
          <w:rFonts w:ascii="Calibri" w:eastAsia="Calibri" w:hAnsi="Calibri" w:cs="Times New Roman"/>
          <w:sz w:val="20"/>
          <w:szCs w:val="20"/>
          <w:lang w:val="en-GB"/>
        </w:rPr>
        <w:t>Acikgoz</w:t>
      </w:r>
      <w:proofErr w:type="spellEnd"/>
      <w:r w:rsidRPr="00EF524F">
        <w:rPr>
          <w:rFonts w:ascii="Calibri" w:eastAsia="Calibri" w:hAnsi="Calibri" w:cs="Times New Roman"/>
          <w:sz w:val="20"/>
          <w:szCs w:val="20"/>
          <w:lang w:val="en-GB"/>
        </w:rPr>
        <w:t xml:space="preserve">, </w:t>
      </w:r>
      <w:proofErr w:type="spellStart"/>
      <w:r w:rsidRPr="00EF524F">
        <w:rPr>
          <w:rFonts w:ascii="Calibri" w:eastAsia="Calibri" w:hAnsi="Calibri" w:cs="Times New Roman"/>
          <w:sz w:val="20"/>
          <w:szCs w:val="20"/>
          <w:lang w:val="en-GB"/>
        </w:rPr>
        <w:t>Hempenius</w:t>
      </w:r>
      <w:proofErr w:type="spellEnd"/>
      <w:r w:rsidRPr="00EF524F">
        <w:rPr>
          <w:rFonts w:ascii="Calibri" w:eastAsia="Calibri" w:hAnsi="Calibri" w:cs="Times New Roman"/>
          <w:sz w:val="20"/>
          <w:szCs w:val="20"/>
          <w:lang w:val="en-GB"/>
        </w:rPr>
        <w:t xml:space="preserve">, </w:t>
      </w:r>
      <w:proofErr w:type="spellStart"/>
      <w:r w:rsidRPr="00EF524F">
        <w:rPr>
          <w:rFonts w:ascii="Calibri" w:eastAsia="Calibri" w:hAnsi="Calibri" w:cs="Times New Roman"/>
          <w:sz w:val="20"/>
          <w:szCs w:val="20"/>
          <w:lang w:val="en-GB"/>
        </w:rPr>
        <w:t>Huskens</w:t>
      </w:r>
      <w:proofErr w:type="spellEnd"/>
      <w:r w:rsidRPr="00EF524F">
        <w:rPr>
          <w:rFonts w:ascii="Calibri" w:eastAsia="Calibri" w:hAnsi="Calibri" w:cs="Times New Roman"/>
          <w:sz w:val="20"/>
          <w:szCs w:val="20"/>
          <w:lang w:val="en-GB"/>
        </w:rPr>
        <w:t xml:space="preserve">, &amp; </w:t>
      </w:r>
      <w:proofErr w:type="spellStart"/>
      <w:r w:rsidRPr="00EF524F">
        <w:rPr>
          <w:rFonts w:ascii="Calibri" w:eastAsia="Calibri" w:hAnsi="Calibri" w:cs="Times New Roman"/>
          <w:sz w:val="20"/>
          <w:szCs w:val="20"/>
          <w:lang w:val="en-GB"/>
        </w:rPr>
        <w:t>Vancso</w:t>
      </w:r>
      <w:proofErr w:type="spellEnd"/>
      <w:r w:rsidRPr="00EF524F">
        <w:rPr>
          <w:rFonts w:ascii="Calibri" w:eastAsia="Calibri" w:hAnsi="Calibri" w:cs="Times New Roman"/>
          <w:sz w:val="20"/>
          <w:szCs w:val="20"/>
          <w:lang w:val="en-GB"/>
        </w:rPr>
        <w:t>, 2011; Chen, Gong, Li, &amp; Li, 2016)</w:t>
      </w:r>
    </w:p>
    <w:p w14:paraId="4394A382" w14:textId="102BEDCC"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Although many reports have used modified surfaces to analyse cell adherence behaviour, the discussion remains if the non-adhesive cell-response is due to surface wettability or other mechanical surface properties. For the prediction of cell responses, the quality and durability of the wetting state is essential. To determine a critical condition for the transition between the two states, a handful of models have been published. These models include the bending of the </w:t>
      </w:r>
      <w:r w:rsidR="002341C4" w:rsidRPr="00EF524F">
        <w:rPr>
          <w:rFonts w:ascii="Calibri" w:eastAsia="Calibri" w:hAnsi="Calibri" w:cs="Times New Roman"/>
          <w:sz w:val="20"/>
          <w:szCs w:val="20"/>
          <w:lang w:val="en-GB"/>
        </w:rPr>
        <w:t>micro menisci</w:t>
      </w:r>
      <w:r w:rsidRPr="00EF524F">
        <w:rPr>
          <w:rFonts w:ascii="Calibri" w:eastAsia="Calibri" w:hAnsi="Calibri" w:cs="Times New Roman"/>
          <w:sz w:val="20"/>
          <w:szCs w:val="20"/>
          <w:lang w:val="en-GB"/>
        </w:rPr>
        <w:t>, dynamic mechanism, the liquid-gas interfacial energies (</w:t>
      </w:r>
      <w:proofErr w:type="spellStart"/>
      <w:r w:rsidRPr="00EF524F">
        <w:rPr>
          <w:rFonts w:ascii="Calibri" w:eastAsia="Calibri" w:hAnsi="Calibri" w:cs="Times New Roman"/>
          <w:sz w:val="20"/>
          <w:szCs w:val="20"/>
          <w:lang w:val="en-GB"/>
        </w:rPr>
        <w:t>Reyssat</w:t>
      </w:r>
      <w:proofErr w:type="spellEnd"/>
      <w:r w:rsidRPr="00EF524F">
        <w:rPr>
          <w:rFonts w:ascii="Calibri" w:eastAsia="Calibri" w:hAnsi="Calibri" w:cs="Times New Roman"/>
          <w:sz w:val="20"/>
          <w:szCs w:val="20"/>
          <w:lang w:val="en-GB"/>
        </w:rPr>
        <w:t xml:space="preserve">, Yeomans, &amp; </w:t>
      </w:r>
      <w:proofErr w:type="spellStart"/>
      <w:r w:rsidRPr="00EF524F">
        <w:rPr>
          <w:rFonts w:ascii="Calibri" w:eastAsia="Calibri" w:hAnsi="Calibri" w:cs="Times New Roman"/>
          <w:sz w:val="20"/>
          <w:szCs w:val="20"/>
          <w:lang w:val="en-GB"/>
        </w:rPr>
        <w:t>Quéré</w:t>
      </w:r>
      <w:proofErr w:type="spellEnd"/>
      <w:r w:rsidRPr="00EF524F">
        <w:rPr>
          <w:rFonts w:ascii="Calibri" w:eastAsia="Calibri" w:hAnsi="Calibri" w:cs="Times New Roman"/>
          <w:sz w:val="20"/>
          <w:szCs w:val="20"/>
          <w:lang w:val="en-GB"/>
        </w:rPr>
        <w:t xml:space="preserve">, 2008), and the pin-effect of the surface texture (Moulinet &amp; </w:t>
      </w:r>
      <w:proofErr w:type="spellStart"/>
      <w:r w:rsidRPr="00EF524F">
        <w:rPr>
          <w:rFonts w:ascii="Calibri" w:eastAsia="Calibri" w:hAnsi="Calibri" w:cs="Times New Roman"/>
          <w:sz w:val="20"/>
          <w:szCs w:val="20"/>
          <w:lang w:val="en-GB"/>
        </w:rPr>
        <w:t>Bartolo</w:t>
      </w:r>
      <w:proofErr w:type="spellEnd"/>
      <w:r w:rsidRPr="00EF524F">
        <w:rPr>
          <w:rFonts w:ascii="Calibri" w:eastAsia="Calibri" w:hAnsi="Calibri" w:cs="Times New Roman"/>
          <w:sz w:val="20"/>
          <w:szCs w:val="20"/>
          <w:lang w:val="en-GB"/>
        </w:rPr>
        <w:t xml:space="preserve">, 2007). But the models have not been able to fully prove their accuracy, as their micro/-nano structures are hidden at the liquid and solid interface. </w:t>
      </w:r>
    </w:p>
    <w:p w14:paraId="3851859F" w14:textId="099B7613"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noProof/>
          <w:lang w:eastAsia="nl-NL"/>
        </w:rPr>
        <mc:AlternateContent>
          <mc:Choice Requires="wps">
            <w:drawing>
              <wp:anchor distT="91440" distB="91440" distL="114300" distR="114300" simplePos="0" relativeHeight="251666432" behindDoc="0" locked="0" layoutInCell="1" allowOverlap="1" wp14:anchorId="548980D2" wp14:editId="3A1FD37A">
                <wp:simplePos x="0" y="0"/>
                <wp:positionH relativeFrom="margin">
                  <wp:posOffset>-78740</wp:posOffset>
                </wp:positionH>
                <wp:positionV relativeFrom="paragraph">
                  <wp:posOffset>1950720</wp:posOffset>
                </wp:positionV>
                <wp:extent cx="2506345" cy="864235"/>
                <wp:effectExtent l="0" t="0" r="8255" b="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864235"/>
                        </a:xfrm>
                        <a:prstGeom prst="rect">
                          <a:avLst/>
                        </a:prstGeom>
                        <a:solidFill>
                          <a:sysClr val="window" lastClr="FFFFFF"/>
                        </a:solidFill>
                        <a:ln w="12700" cap="flat" cmpd="sng" algn="ctr">
                          <a:noFill/>
                          <a:prstDash val="solid"/>
                          <a:miter lim="800000"/>
                          <a:headEnd/>
                          <a:tailEnd/>
                        </a:ln>
                        <a:effectLst/>
                      </wps:spPr>
                      <wps:txbx>
                        <w:txbxContent>
                          <w:p w14:paraId="5036E876"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PlaceholderText"/>
                                <w:i/>
                                <w:iCs/>
                                <w:color w:val="404040" w:themeColor="text1" w:themeTint="BF"/>
                                <w:sz w:val="14"/>
                                <w:szCs w:val="14"/>
                                <w:lang w:val="en-GB"/>
                              </w:rPr>
                            </w:pPr>
                            <w:r w:rsidRPr="00805D73">
                              <w:rPr>
                                <w:rStyle w:val="PlaceholderText"/>
                                <w:i/>
                                <w:iCs/>
                                <w:color w:val="5B9BD5" w:themeColor="accent1"/>
                                <w:sz w:val="14"/>
                                <w:szCs w:val="14"/>
                                <w:lang w:val="en-GB"/>
                              </w:rPr>
                              <w:t xml:space="preserve">Fig. </w:t>
                            </w:r>
                            <w:r>
                              <w:rPr>
                                <w:rStyle w:val="PlaceholderText"/>
                                <w:i/>
                                <w:iCs/>
                                <w:color w:val="5B9BD5" w:themeColor="accent1"/>
                                <w:sz w:val="14"/>
                                <w:szCs w:val="14"/>
                                <w:lang w:val="en-GB"/>
                              </w:rPr>
                              <w:t>3.</w:t>
                            </w:r>
                            <w:r w:rsidRPr="00805D73">
                              <w:rPr>
                                <w:rStyle w:val="PlaceholderText"/>
                                <w:i/>
                                <w:iCs/>
                                <w:color w:val="5B9BD5" w:themeColor="accent1"/>
                                <w:sz w:val="14"/>
                                <w:szCs w:val="14"/>
                                <w:lang w:val="en-GB"/>
                              </w:rPr>
                              <w:t xml:space="preserve">  </w:t>
                            </w:r>
                            <w:r>
                              <w:rPr>
                                <w:rStyle w:val="PlaceholderText"/>
                                <w:i/>
                                <w:iCs/>
                                <w:color w:val="404040" w:themeColor="text1" w:themeTint="BF"/>
                                <w:sz w:val="14"/>
                                <w:szCs w:val="14"/>
                                <w:lang w:val="en-GB"/>
                              </w:rPr>
                              <w:t>Schematic of an increased surface topography with higher amplitude but equal wavelength.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980D2" id="_x0000_s1029" type="#_x0000_t202" style="position:absolute;left:0;text-align:left;margin-left:-6.2pt;margin-top:153.6pt;width:197.35pt;height:68.05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" fillcolor="window" stroked="f" strokeweight="1pt">
                <v:textbox>
                  <w:txbxContent>
                    <w:p w14:paraId="5036E876"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Tekstvantijdelijkeaanduiding"/>
                          <w:i/>
                          <w:iCs/>
                          <w:color w:val="404040" w:themeColor="text1" w:themeTint="BF"/>
                          <w:sz w:val="14"/>
                          <w:szCs w:val="14"/>
                          <w:lang w:val="en-GB"/>
                        </w:rPr>
                      </w:pPr>
                      <w:r w:rsidRPr="00805D73">
                        <w:rPr>
                          <w:rStyle w:val="Tekstvantijdelijkeaanduiding"/>
                          <w:i/>
                          <w:iCs/>
                          <w:color w:val="5B9BD5" w:themeColor="accent1"/>
                          <w:sz w:val="14"/>
                          <w:szCs w:val="14"/>
                          <w:lang w:val="en-GB"/>
                        </w:rPr>
                        <w:t xml:space="preserve">Fig. </w:t>
                      </w:r>
                      <w:r>
                        <w:rPr>
                          <w:rStyle w:val="Tekstvantijdelijkeaanduiding"/>
                          <w:i/>
                          <w:iCs/>
                          <w:color w:val="5B9BD5" w:themeColor="accent1"/>
                          <w:sz w:val="14"/>
                          <w:szCs w:val="14"/>
                          <w:lang w:val="en-GB"/>
                        </w:rPr>
                        <w:t>3.</w:t>
                      </w:r>
                      <w:r w:rsidRPr="00805D73">
                        <w:rPr>
                          <w:rStyle w:val="Tekstvantijdelijkeaanduiding"/>
                          <w:i/>
                          <w:iCs/>
                          <w:color w:val="5B9BD5" w:themeColor="accent1"/>
                          <w:sz w:val="14"/>
                          <w:szCs w:val="14"/>
                          <w:lang w:val="en-GB"/>
                        </w:rPr>
                        <w:t xml:space="preserve">  </w:t>
                      </w:r>
                      <w:r>
                        <w:rPr>
                          <w:rStyle w:val="Tekstvantijdelijkeaanduiding"/>
                          <w:i/>
                          <w:iCs/>
                          <w:color w:val="404040" w:themeColor="text1" w:themeTint="BF"/>
                          <w:sz w:val="14"/>
                          <w:szCs w:val="14"/>
                          <w:lang w:val="en-GB"/>
                        </w:rPr>
                        <w:t>Schematic of an increased surface topography with higher amplitude but equal wavelength.</w:t>
                      </w:r>
                    </w:p>
                  </w:txbxContent>
                </v:textbox>
                <w10:wrap type="square" anchorx="margin"/>
              </v:shape>
            </w:pict>
          </mc:Fallback>
        </mc:AlternateContent>
      </w:r>
      <w:r w:rsidRPr="00EF524F">
        <w:rPr>
          <w:rFonts w:ascii="Calibri" w:eastAsia="Calibri" w:hAnsi="Calibri" w:cs="Times New Roman"/>
          <w:i/>
          <w:noProof/>
          <w:color w:val="5B9BD5"/>
          <w:lang w:eastAsia="nl-NL"/>
        </w:rPr>
        <w:drawing>
          <wp:anchor distT="0" distB="0" distL="114300" distR="114300" simplePos="0" relativeHeight="251665408" behindDoc="0" locked="0" layoutInCell="1" allowOverlap="1" wp14:anchorId="7200CB54" wp14:editId="238557D1">
            <wp:simplePos x="0" y="0"/>
            <wp:positionH relativeFrom="margin">
              <wp:posOffset>-156845</wp:posOffset>
            </wp:positionH>
            <wp:positionV relativeFrom="paragraph">
              <wp:posOffset>0</wp:posOffset>
            </wp:positionV>
            <wp:extent cx="2585085" cy="1949450"/>
            <wp:effectExtent l="0" t="0" r="5715" b="0"/>
            <wp:wrapSquare wrapText="bothSides"/>
            <wp:docPr id="9" name="Afbeelding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51998" t="40631" r="32141" b="31918"/>
                    <a:stretch>
                      <a:fillRect/>
                    </a:stretch>
                  </pic:blipFill>
                  <pic:spPr>
                    <a:xfrm>
                      <a:off x="0" y="0"/>
                      <a:ext cx="2585085" cy="1949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F524F">
        <w:rPr>
          <w:rFonts w:ascii="Calibri" w:eastAsia="Calibri" w:hAnsi="Calibri" w:cs="Times New Roman"/>
          <w:sz w:val="20"/>
          <w:szCs w:val="20"/>
          <w:lang w:val="en-GB"/>
        </w:rPr>
        <w:t xml:space="preserve">To provide the necessary spatial resolution to optimize the analysation of the micro/-nanostructures, an Atomic Force Microscopy (AFM) can be used. Although before using the AFM, an interpretation of the surface forces is necessary. Plus, the tip-sample interaction influences the surface and therefore the results. Hence, the AFM can give a close examination, but measurement imperfects remain an issue.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"10.1209/epl/i2005-10068-4", "ISSN" : "0295-5075", "author" : [ { "dropping-particle" : "", "family" : "Journet", "given" : "C", "non-dropping-particle" : "", "parse-names" : false, "suffix" : "" }, { "dropping-particle" : "", "family" : "Moulinet", "given" : "S", "non-dropping-particle" : "", "parse-names" : false, "suffix" : "" }, { "dropping-particle" : "", "family" : "Ybert", "given" : "C", "non-dropping-particle" : "", "parse-names" : false, "suffix" : "" }, { "dropping-particle" : "", "family" : "Purcell", "given" : "S. T", "non-dropping-particle" : "", "parse-names" : false, "suffix" : "" }, { "dropping-particle" : "", "family" : "Bocquet", "given" : "L", "non-dropping-particle" : "", "parse-names" : false, "suffix" : "" } ], "container-title" : "Europhysics Letters (EPL)", "id" : "ITEM-1", "issue" : "1", "issued" : { "date-parts" : [ [ "2005", "7", "1" ] ] }, "page" : "104-109", "publisher" : "EDP Sciences", "title" : "Contact angle measurements on superhydrophobic carbon nanotube forests: Effect of fluid pressure", "type" : "article-journal", "volume" : "71" }, "uris" : [ "http://www.mendeley.com/documents/?uuid=2ab0145c-1577-3d78-aa96-b81ea308a9d6" ] } ], "mendeley" : { "formattedCitation" : "(Journet et al. 2005)", "plainTextFormattedCitation" : "(Journet et al. 2005)", "previouslyFormattedCitation" : "(Journet et al. 2005)"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(Journet et al. 2005)</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In practice, it is frequently unclear if the Cassie-Baxter or Wenzel wetting state is favoured, therefore the boundary conditions between the two states still remain an actively studied field. Hence, the idea that the observed Cassie-Baxter effect will always result in the inhibition of cell adhesion, is to be questioned. Reports show different cell-adhesion behaviour of surfaces thought to be superhydrophobic. The Cassie-Baxter and Wenzel models can be used to give surface wettability predictions. However, the use of these models quite often seem</w:t>
      </w:r>
      <w:r w:rsidR="002341C4">
        <w:rPr>
          <w:rFonts w:ascii="Calibri" w:eastAsia="Calibri" w:hAnsi="Calibri" w:cs="Times New Roman"/>
          <w:sz w:val="20"/>
          <w:szCs w:val="20"/>
          <w:lang w:val="en-GB"/>
        </w:rPr>
        <w:t>s</w:t>
      </w:r>
      <w:r w:rsidRPr="00EF524F">
        <w:rPr>
          <w:rFonts w:ascii="Calibri" w:eastAsia="Calibri" w:hAnsi="Calibri" w:cs="Times New Roman"/>
          <w:sz w:val="20"/>
          <w:szCs w:val="20"/>
          <w:lang w:val="en-GB"/>
        </w:rPr>
        <w:t xml:space="preserve"> to be inaccurate. The conclusion whether the </w:t>
      </w:r>
      <w:r w:rsidRPr="00EF524F">
        <w:rPr>
          <w:rFonts w:ascii="Calibri" w:eastAsia="Calibri" w:hAnsi="Calibri" w:cs="Times New Roman"/>
          <w:sz w:val="20"/>
          <w:szCs w:val="20"/>
          <w:lang w:val="en-GB"/>
        </w:rPr>
        <w:lastRenderedPageBreak/>
        <w:t xml:space="preserve">superhydrophobic Cassie-Baxter or Wenzel wetting state is favoured on a surface, should also include further external parameters such as; mechanical motion or pressure. Therefore, other researchers choose to further limit the included parameters by the measurement of the contact hysteresis (CH) or the sliding angle (SA) to determine the surface wettability. </w:t>
      </w:r>
    </w:p>
    <w:p w14:paraId="2A8004F9" w14:textId="01D7199F"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The CH is defined as the difference between the advancing angle and the receding angle and is generally dynamically measured </w:t>
      </w:r>
      <w:r w:rsidR="002341C4" w:rsidRPr="00EF524F">
        <w:rPr>
          <w:rFonts w:ascii="Calibri" w:eastAsia="Calibri" w:hAnsi="Calibri" w:cs="Times New Roman"/>
          <w:sz w:val="20"/>
          <w:szCs w:val="20"/>
          <w:lang w:val="en-GB"/>
        </w:rPr>
        <w:t>by supplying</w:t>
      </w:r>
      <w:r w:rsidRPr="00EF524F">
        <w:rPr>
          <w:rFonts w:ascii="Calibri" w:eastAsia="Calibri" w:hAnsi="Calibri" w:cs="Times New Roman"/>
          <w:sz w:val="20"/>
          <w:szCs w:val="20"/>
          <w:lang w:val="en-GB"/>
        </w:rPr>
        <w:t xml:space="preserve"> and withdrawing volume to the drop.  Low hysteresis defines the difference between the minimal and maximum local CA. A low CH on a superhydrophobic surface is favourable, as this means the water droplet can easily roll off the surface, removing any dust, termed as ‘self-cleaning’.  The sliding angle depends on the mass of the droplet, and therefore can be used to compare different solid surfaces when a uniform droplet size is used. It is claimed to define a solid surface superhydrophobic if the static water CA is &gt; 150 degrees and the CH is &lt; 10 degrees. Several reports are known using improved models to give insight in expected outcomes. </w:t>
      </w:r>
    </w:p>
    <w:p w14:paraId="0C4B80A1"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color w:val="FF0000"/>
          <w:sz w:val="20"/>
          <w:szCs w:val="20"/>
          <w:lang w:val="en-GB"/>
        </w:rPr>
      </w:pPr>
      <w:r w:rsidRPr="00EF524F">
        <w:rPr>
          <w:rFonts w:ascii="Calibri" w:eastAsia="Calibri" w:hAnsi="Calibri" w:cs="Times New Roman"/>
          <w:sz w:val="20"/>
          <w:szCs w:val="20"/>
          <w:lang w:val="en-GB"/>
        </w:rPr>
        <w:t xml:space="preserve">The question arises if these plastrons alone are responsible for the cell-adhesion behaviour, or if other parameters have a stronger influence on the stability of the state than previously thought. The possibilities of other environmental influences should be taking into account for a qualitative assessment of superhydrophobicity and its potential applications in medical devices. </w:t>
      </w:r>
    </w:p>
    <w:p w14:paraId="47924E7E"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color w:val="FF0000"/>
          <w:sz w:val="20"/>
          <w:szCs w:val="20"/>
          <w:lang w:val="en-GB"/>
        </w:rPr>
      </w:pPr>
    </w:p>
    <w:p w14:paraId="52DA25D8" w14:textId="77777777" w:rsidR="00EF524F" w:rsidRPr="00EF524F" w:rsidRDefault="00EF524F" w:rsidP="00EF524F">
      <w:pPr>
        <w:keepNext/>
        <w:keepLines/>
        <w:suppressAutoHyphens/>
        <w:autoSpaceDN w:val="0"/>
        <w:spacing w:before="40" w:after="0" w:line="256" w:lineRule="auto"/>
        <w:textAlignment w:val="baseline"/>
        <w:outlineLvl w:val="1"/>
        <w:rPr>
          <w:rFonts w:asciiTheme="majorHAnsi" w:eastAsiaTheme="majorEastAsia" w:hAnsiTheme="majorHAnsi" w:cstheme="majorBidi"/>
          <w:color w:val="2E74B5" w:themeColor="accent1" w:themeShade="BF"/>
          <w:sz w:val="32"/>
          <w:szCs w:val="26"/>
          <w:lang w:val="en-GB"/>
        </w:rPr>
      </w:pPr>
      <w:bookmarkStart w:id="5" w:name="_Toc489360363"/>
      <w:r w:rsidRPr="00EF524F">
        <w:rPr>
          <w:rFonts w:asciiTheme="majorHAnsi" w:eastAsiaTheme="majorEastAsia" w:hAnsiTheme="majorHAnsi" w:cstheme="majorBidi"/>
          <w:color w:val="2E74B5" w:themeColor="accent1" w:themeShade="BF"/>
          <w:sz w:val="32"/>
          <w:szCs w:val="26"/>
          <w:lang w:val="en-GB"/>
        </w:rPr>
        <w:t>Nanopillars</w:t>
      </w:r>
      <w:bookmarkEnd w:id="5"/>
    </w:p>
    <w:p w14:paraId="15EAA2CB"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6573F89F" w14:textId="0C1F86AF"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Various methods have also been developed for the bottom-up approach in the synthesis of micro-nano-array surfaces. In an attempt to mimic the topography of the gecko’s adhesive foot-hair, </w:t>
      </w:r>
      <w:proofErr w:type="spellStart"/>
      <w:r w:rsidRPr="00EF524F">
        <w:rPr>
          <w:rFonts w:ascii="Calibri" w:eastAsia="Calibri" w:hAnsi="Calibri" w:cs="Times New Roman"/>
          <w:sz w:val="20"/>
          <w:szCs w:val="20"/>
          <w:lang w:val="en-GB"/>
        </w:rPr>
        <w:t>Jin</w:t>
      </w:r>
      <w:proofErr w:type="spellEnd"/>
      <w:r w:rsidRPr="00EF524F">
        <w:rPr>
          <w:rFonts w:ascii="Calibri" w:eastAsia="Calibri" w:hAnsi="Calibri" w:cs="Times New Roman"/>
          <w:sz w:val="20"/>
          <w:szCs w:val="20"/>
          <w:lang w:val="en-GB"/>
        </w:rPr>
        <w:t xml:space="preserve"> et al. (Bang Lee, </w:t>
      </w:r>
      <w:proofErr w:type="spellStart"/>
      <w:r w:rsidRPr="00EF524F">
        <w:rPr>
          <w:rFonts w:ascii="Calibri" w:eastAsia="Calibri" w:hAnsi="Calibri" w:cs="Times New Roman"/>
          <w:sz w:val="20"/>
          <w:szCs w:val="20"/>
          <w:lang w:val="en-GB"/>
        </w:rPr>
        <w:t>Jin</w:t>
      </w:r>
      <w:proofErr w:type="spellEnd"/>
      <w:r w:rsidRPr="00EF524F">
        <w:rPr>
          <w:rFonts w:ascii="Calibri" w:eastAsia="Calibri" w:hAnsi="Calibri" w:cs="Times New Roman"/>
          <w:sz w:val="20"/>
          <w:szCs w:val="20"/>
          <w:lang w:val="en-GB"/>
        </w:rPr>
        <w:t xml:space="preserve"> </w:t>
      </w:r>
      <w:proofErr w:type="spellStart"/>
      <w:r w:rsidRPr="00EF524F">
        <w:rPr>
          <w:rFonts w:ascii="Calibri" w:eastAsia="Calibri" w:hAnsi="Calibri" w:cs="Times New Roman"/>
          <w:sz w:val="20"/>
          <w:szCs w:val="20"/>
          <w:lang w:val="en-GB"/>
        </w:rPr>
        <w:t>Jeong</w:t>
      </w:r>
      <w:proofErr w:type="spellEnd"/>
      <w:r w:rsidRPr="00EF524F">
        <w:rPr>
          <w:rFonts w:ascii="Calibri" w:eastAsia="Calibri" w:hAnsi="Calibri" w:cs="Times New Roman"/>
          <w:sz w:val="20"/>
          <w:szCs w:val="20"/>
          <w:lang w:val="en-GB"/>
        </w:rPr>
        <w:t>, &amp; Ro Lee) developed a fabrication method using polystyrene nano-tubes. Subsequently, other methods were developed using carbon nanotube (ACNT’s) arrays to fabricate honeycomb and rice-like structures</w:t>
      </w:r>
      <w:r w:rsidRPr="00EF524F">
        <w:rPr>
          <w:rFonts w:ascii="Calibri" w:eastAsia="Calibri" w:hAnsi="Calibri" w:cs="Times New Roman"/>
          <w:lang w:val="en-GB"/>
        </w:rPr>
        <w:t xml:space="preserve">. </w:t>
      </w:r>
      <w:r w:rsidRPr="00EF524F">
        <w:rPr>
          <w:rFonts w:ascii="Calibri" w:eastAsia="Calibri" w:hAnsi="Calibri" w:cs="Times New Roman"/>
          <w:sz w:val="20"/>
          <w:szCs w:val="20"/>
          <w:lang w:val="en-GB"/>
        </w:rPr>
        <w:t xml:space="preserve">The fabrication of </w:t>
      </w:r>
      <w:proofErr w:type="spellStart"/>
      <w:r w:rsidRPr="00EF524F">
        <w:rPr>
          <w:rFonts w:ascii="Calibri" w:eastAsia="Calibri" w:hAnsi="Calibri" w:cs="Times New Roman"/>
          <w:sz w:val="20"/>
          <w:szCs w:val="20"/>
          <w:lang w:val="en-GB"/>
        </w:rPr>
        <w:t>nanopillared</w:t>
      </w:r>
      <w:proofErr w:type="spellEnd"/>
      <w:r w:rsidRPr="00EF524F">
        <w:rPr>
          <w:rFonts w:ascii="Calibri" w:eastAsia="Calibri" w:hAnsi="Calibri" w:cs="Times New Roman"/>
          <w:sz w:val="20"/>
          <w:szCs w:val="20"/>
          <w:lang w:val="en-GB"/>
        </w:rPr>
        <w:t xml:space="preserve"> surfaces is the most recent and advanced method in the field of superhydrophobic to generate surface roughness. Nanopillars are nanostructures with </w:t>
      </w:r>
      <w:r w:rsidR="002341C4" w:rsidRPr="00EF524F">
        <w:rPr>
          <w:rFonts w:ascii="Calibri" w:eastAsia="Calibri" w:hAnsi="Calibri" w:cs="Times New Roman"/>
          <w:sz w:val="20"/>
          <w:szCs w:val="20"/>
          <w:lang w:val="en-GB"/>
        </w:rPr>
        <w:t>an approximate diameter of 10 nm</w:t>
      </w:r>
      <w:r w:rsidRPr="00EF524F">
        <w:rPr>
          <w:rFonts w:ascii="Calibri" w:eastAsia="Calibri" w:hAnsi="Calibri" w:cs="Times New Roman"/>
          <w:sz w:val="20"/>
          <w:szCs w:val="20"/>
          <w:lang w:val="en-GB"/>
        </w:rPr>
        <w:t xml:space="preserve"> and have a pillar shape on the bottom with a pointy top.  These structures are also to be found in nature on the wings of a Cicada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"10.1016/j.apsusc.2004.05.129", "ISSN" : "01694332", "author" : [ { "dropping-particle" : "", "family" : "Watson", "given" : "G.S.", "non-dropping-particle" : "", "parse-names" : false, "suffix" : "" }, { "dropping-particle" : "", "family" : "Watson", "given" : "J.A.", "non-dropping-particle" : "", "parse-names" : false, "suffix" : "" } ], "container-title" : "Applied Surface Science", "id" : "ITEM-1", "issue" : "1-2", "issued" : { "date-parts" : [ [ "2004", "7" ] ] }, "page" : "139-144", "title" : "Natural nano-structures on insects\u2014possible functions of ordered arrays characterized by atomic force microscopy", "type" : "article-journal", "volume" : "235" }, "uris" : [ "http://www.mendeley.com/documents/?uuid=6928de7a-636c-3c9b-8a74-4ced03829410" ] } ], "mendeley" : { "formattedCitation" : "(Watson and Watson 2004)", "plainTextFormattedCitation" : "(Watson and Watson 2004)", "previouslyFormattedCitation" : "(Watson and Watson 2004)"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(Watson and Watson 2004)</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Mimicking these pillars is normally obtained by lithography treatment, and are popular due to its easy control of dimensions.</w:t>
      </w:r>
    </w:p>
    <w:p w14:paraId="2D15D26A"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noProof/>
          <w:lang w:eastAsia="nl-NL"/>
        </w:rPr>
        <w:drawing>
          <wp:anchor distT="0" distB="0" distL="114300" distR="114300" simplePos="0" relativeHeight="251676672" behindDoc="0" locked="0" layoutInCell="1" allowOverlap="1" wp14:anchorId="4D86C1F8" wp14:editId="45CC2727">
            <wp:simplePos x="0" y="0"/>
            <wp:positionH relativeFrom="margin">
              <wp:align>right</wp:align>
            </wp:positionH>
            <wp:positionV relativeFrom="paragraph">
              <wp:posOffset>6191</wp:posOffset>
            </wp:positionV>
            <wp:extent cx="2196465" cy="1702435"/>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566" t="16047" r="50669" b="47989"/>
                    <a:stretch/>
                  </pic:blipFill>
                  <pic:spPr bwMode="auto">
                    <a:xfrm>
                      <a:off x="0" y="0"/>
                      <a:ext cx="2196465" cy="170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F524F">
        <w:rPr>
          <w:rFonts w:ascii="Calibri" w:eastAsia="Calibri" w:hAnsi="Calibri" w:cs="Times New Roman"/>
          <w:sz w:val="20"/>
          <w:szCs w:val="20"/>
          <w:lang w:val="en-GB"/>
        </w:rPr>
        <w:t xml:space="preserve">Hejazi et al. suggests that on these </w:t>
      </w:r>
      <w:proofErr w:type="spellStart"/>
      <w:r w:rsidRPr="00EF524F">
        <w:rPr>
          <w:rFonts w:ascii="Calibri" w:eastAsia="Calibri" w:hAnsi="Calibri" w:cs="Times New Roman"/>
          <w:sz w:val="20"/>
          <w:szCs w:val="20"/>
          <w:lang w:val="en-GB"/>
        </w:rPr>
        <w:t>nanopillared</w:t>
      </w:r>
      <w:proofErr w:type="spellEnd"/>
      <w:r w:rsidRPr="00EF524F">
        <w:rPr>
          <w:rFonts w:ascii="Calibri" w:eastAsia="Calibri" w:hAnsi="Calibri" w:cs="Times New Roman"/>
          <w:sz w:val="20"/>
          <w:szCs w:val="20"/>
          <w:lang w:val="en-GB"/>
        </w:rPr>
        <w:t xml:space="preserve"> surfaces, cells will not be able to reach the bottom of the solid composite, but will be floating on top of the </w:t>
      </w:r>
      <w:proofErr w:type="spellStart"/>
      <w:r w:rsidRPr="00EF524F">
        <w:rPr>
          <w:rFonts w:ascii="Calibri" w:eastAsia="Calibri" w:hAnsi="Calibri" w:cs="Times New Roman"/>
          <w:sz w:val="20"/>
          <w:szCs w:val="20"/>
          <w:lang w:val="en-GB"/>
        </w:rPr>
        <w:t>nanopillared</w:t>
      </w:r>
      <w:proofErr w:type="spellEnd"/>
      <w:r w:rsidRPr="00EF524F">
        <w:rPr>
          <w:rFonts w:ascii="Calibri" w:eastAsia="Calibri" w:hAnsi="Calibri" w:cs="Times New Roman"/>
          <w:sz w:val="20"/>
          <w:szCs w:val="20"/>
          <w:lang w:val="en-GB"/>
        </w:rPr>
        <w:t xml:space="preserve"> tops having local contact areas depending on the size and shape of the nanopillars and cell type. His report revealed that the apoptosis rate increased as the nanopillar size decreased. These results showed that the size of focal adhesions formed on these nanopillars decreased as the size of the nanopillars decreased. When the diameter of the nanopillar was decreased to smaller than 200nm, the shape of the focal adhesion points showed to be cell type dependent.  </w:t>
      </w:r>
    </w:p>
    <w:p w14:paraId="39360081" w14:textId="177EA76E"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noProof/>
          <w:shd w:val="clear" w:color="auto" w:fill="FFFFFF"/>
          <w:lang w:eastAsia="nl-NL"/>
        </w:rPr>
        <mc:AlternateContent>
          <mc:Choice Requires="wps">
            <w:drawing>
              <wp:anchor distT="0" distB="0" distL="114300" distR="114300" simplePos="0" relativeHeight="251669504" behindDoc="1" locked="0" layoutInCell="1" allowOverlap="1" wp14:anchorId="4406D7C3" wp14:editId="55903073">
                <wp:simplePos x="0" y="0"/>
                <wp:positionH relativeFrom="margin">
                  <wp:posOffset>3636010</wp:posOffset>
                </wp:positionH>
                <wp:positionV relativeFrom="paragraph">
                  <wp:posOffset>59690</wp:posOffset>
                </wp:positionV>
                <wp:extent cx="2157095" cy="1600200"/>
                <wp:effectExtent l="0" t="0" r="0" b="0"/>
                <wp:wrapSquare wrapText="bothSides"/>
                <wp:docPr id="24" name="Tekstvak 2"/>
                <wp:cNvGraphicFramePr/>
                <a:graphic xmlns:a="http://schemas.openxmlformats.org/drawingml/2006/main">
                  <a:graphicData uri="http://schemas.microsoft.com/office/word/2010/wordprocessingShape">
                    <wps:wsp>
                      <wps:cNvSpPr txBox="1"/>
                      <wps:spPr>
                        <a:xfrm>
                          <a:off x="0" y="0"/>
                          <a:ext cx="2157095" cy="1600200"/>
                        </a:xfrm>
                        <a:prstGeom prst="rect">
                          <a:avLst/>
                        </a:prstGeom>
                        <a:noFill/>
                        <a:ln>
                          <a:noFill/>
                          <a:prstDash/>
                        </a:ln>
                      </wps:spPr>
                      <wps:txbx>
                        <w:txbxContent>
                          <w:p w14:paraId="1D03DCB3" w14:textId="03CA256C" w:rsidR="00EF524F" w:rsidRPr="007F66B6" w:rsidRDefault="00EF524F" w:rsidP="00EF524F">
                            <w:pPr>
                              <w:pBdr>
                                <w:top w:val="single" w:sz="36" w:space="6" w:color="000000"/>
                                <w:bottom w:val="single" w:sz="18" w:space="6" w:color="A8D08D"/>
                              </w:pBdr>
                              <w:spacing w:after="0"/>
                              <w:rPr>
                                <w:lang w:val="en-GB"/>
                              </w:rPr>
                            </w:pPr>
                            <w:r w:rsidRPr="007F66B6">
                              <w:rPr>
                                <w:rStyle w:val="PlaceholderText"/>
                                <w:i/>
                                <w:iCs/>
                                <w:color w:val="5B9BD5" w:themeColor="accent1"/>
                                <w:sz w:val="14"/>
                                <w:szCs w:val="14"/>
                                <w:lang w:val="en-GB"/>
                              </w:rPr>
                              <w:t xml:space="preserve">Fig. 4. </w:t>
                            </w:r>
                            <w:r w:rsidRPr="007F66B6">
                              <w:rPr>
                                <w:rStyle w:val="PlaceholderText"/>
                                <w:i/>
                                <w:iCs/>
                                <w:sz w:val="14"/>
                                <w:szCs w:val="14"/>
                                <w:lang w:val="en-GB"/>
                              </w:rPr>
                              <w:t>Cell viability of pu</w:t>
                            </w:r>
                            <w:r>
                              <w:rPr>
                                <w:rStyle w:val="PlaceholderText"/>
                                <w:i/>
                                <w:iCs/>
                                <w:sz w:val="14"/>
                                <w:szCs w:val="14"/>
                                <w:lang w:val="en-GB"/>
                              </w:rPr>
                              <w:t>re polypropylene surface (PP)</w:t>
                            </w:r>
                            <w:r w:rsidRPr="007F66B6">
                              <w:rPr>
                                <w:rStyle w:val="PlaceholderText"/>
                                <w:i/>
                                <w:iCs/>
                                <w:sz w:val="14"/>
                                <w:szCs w:val="14"/>
                                <w:lang w:val="en-GB"/>
                              </w:rPr>
                              <w:t>,</w:t>
                            </w:r>
                            <w:r w:rsidRPr="003E7233">
                              <w:rPr>
                                <w:rStyle w:val="PlaceholderText"/>
                                <w:i/>
                                <w:iCs/>
                                <w:sz w:val="14"/>
                                <w:szCs w:val="14"/>
                                <w:lang w:val="en-GB"/>
                              </w:rPr>
                              <w:t xml:space="preserve"> MEK6 and MEK2Si10 and MEK2Si20 </w:t>
                            </w:r>
                            <w:r>
                              <w:rPr>
                                <w:rStyle w:val="PlaceholderText"/>
                                <w:i/>
                                <w:iCs/>
                                <w:sz w:val="14"/>
                                <w:szCs w:val="14"/>
                                <w:lang w:val="en-GB"/>
                              </w:rPr>
                              <w:t>after 3 and 5 days of culturing.</w:t>
                            </w:r>
                            <w:r w:rsidRPr="007F66B6">
                              <w:rPr>
                                <w:rStyle w:val="PlaceholderText"/>
                                <w:i/>
                                <w:iCs/>
                                <w:sz w:val="14"/>
                                <w:szCs w:val="14"/>
                                <w:lang w:val="en-GB"/>
                              </w:rPr>
                              <w:t xml:space="preserve"> </w:t>
                            </w:r>
                            <w:r>
                              <w:rPr>
                                <w:rStyle w:val="PlaceholderText"/>
                                <w:i/>
                                <w:iCs/>
                                <w:sz w:val="14"/>
                                <w:szCs w:val="14"/>
                                <w:lang w:val="en-GB"/>
                              </w:rPr>
                              <w:t xml:space="preserve">Where Si10 and Si20 stands for the amount of </w:t>
                            </w:r>
                            <w:proofErr w:type="spellStart"/>
                            <w:r>
                              <w:rPr>
                                <w:rStyle w:val="PlaceholderText"/>
                                <w:i/>
                                <w:iCs/>
                                <w:sz w:val="14"/>
                                <w:szCs w:val="14"/>
                                <w:lang w:val="en-GB"/>
                              </w:rPr>
                              <w:t>nanosilica</w:t>
                            </w:r>
                            <w:proofErr w:type="spellEnd"/>
                            <w:r>
                              <w:rPr>
                                <w:rStyle w:val="PlaceholderText"/>
                                <w:i/>
                                <w:iCs/>
                                <w:sz w:val="14"/>
                                <w:szCs w:val="14"/>
                                <w:lang w:val="en-GB"/>
                              </w:rPr>
                              <w:t xml:space="preserve"> surface structure: 10% and 20 % of </w:t>
                            </w:r>
                            <w:proofErr w:type="spellStart"/>
                            <w:r>
                              <w:rPr>
                                <w:rStyle w:val="PlaceholderText"/>
                                <w:i/>
                                <w:iCs/>
                                <w:sz w:val="14"/>
                                <w:szCs w:val="14"/>
                                <w:lang w:val="en-GB"/>
                              </w:rPr>
                              <w:t>nanosilica</w:t>
                            </w:r>
                            <w:proofErr w:type="spellEnd"/>
                            <w:r>
                              <w:rPr>
                                <w:rStyle w:val="PlaceholderText"/>
                                <w:i/>
                                <w:iCs/>
                                <w:sz w:val="14"/>
                                <w:szCs w:val="14"/>
                                <w:lang w:val="en-GB"/>
                              </w:rPr>
                              <w:t xml:space="preserve"> with respect to MEK. MEK: Methyl Ethyl Ketone. Cells were 4T1 </w:t>
                            </w:r>
                            <w:r w:rsidR="002341C4">
                              <w:rPr>
                                <w:rStyle w:val="PlaceholderText"/>
                                <w:i/>
                                <w:iCs/>
                                <w:sz w:val="14"/>
                                <w:szCs w:val="14"/>
                                <w:lang w:val="en-GB"/>
                              </w:rPr>
                              <w:t>mouse mammary</w:t>
                            </w:r>
                            <w:r>
                              <w:rPr>
                                <w:rStyle w:val="PlaceholderText"/>
                                <w:i/>
                                <w:iCs/>
                                <w:sz w:val="14"/>
                                <w:szCs w:val="14"/>
                                <w:lang w:val="en-GB"/>
                              </w:rPr>
                              <w:t xml:space="preserve"> </w:t>
                            </w:r>
                            <w:r w:rsidR="002341C4">
                              <w:rPr>
                                <w:rStyle w:val="PlaceholderText"/>
                                <w:i/>
                                <w:iCs/>
                                <w:sz w:val="14"/>
                                <w:szCs w:val="14"/>
                                <w:lang w:val="en-GB"/>
                              </w:rPr>
                              <w:t>tumour cells</w:t>
                            </w:r>
                            <w:r>
                              <w:rPr>
                                <w:rStyle w:val="PlaceholderText"/>
                                <w:i/>
                                <w:iCs/>
                                <w:sz w:val="14"/>
                                <w:szCs w:val="14"/>
                                <w:lang w:val="en-GB"/>
                              </w:rPr>
                              <w: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4406D7C3" id="_x0000_t202" coordsize="21600,21600" o:spt="202" path="m,l,21600r21600,l21600,xe">
                <v:stroke joinstyle="miter"/>
                <v:path gradientshapeok="t" o:connecttype="rect"/>
              </v:shapetype>
              <v:shape id="_x0000_s1030" type="#_x0000_t202" style="position:absolute;left:0;text-align:left;margin-left:286.3pt;margin-top:4.7pt;width:169.85pt;height:12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" filled="f" stroked="f">
                <v:textbox>
                  <w:txbxContent>
                    <w:p w14:paraId="1D03DCB3" w14:textId="03CA256C" w:rsidR="00EF524F" w:rsidRPr="007F66B6" w:rsidRDefault="00EF524F" w:rsidP="00EF524F">
                      <w:pPr>
                        <w:pBdr>
                          <w:top w:val="single" w:sz="36" w:space="6" w:color="000000"/>
                          <w:bottom w:val="single" w:sz="18" w:space="6" w:color="A8D08D"/>
                        </w:pBdr>
                        <w:spacing w:after="0"/>
                        <w:rPr>
                          <w:lang w:val="en-GB"/>
                        </w:rPr>
                      </w:pPr>
                      <w:r w:rsidRPr="007F66B6">
                        <w:rPr>
                          <w:rStyle w:val="PlaceholderText"/>
                          <w:i/>
                          <w:iCs/>
                          <w:color w:val="5B9BD5" w:themeColor="accent1"/>
                          <w:sz w:val="14"/>
                          <w:szCs w:val="14"/>
                          <w:lang w:val="en-GB"/>
                        </w:rPr>
                        <w:t xml:space="preserve">Fig. 4. </w:t>
                      </w:r>
                      <w:r w:rsidRPr="007F66B6">
                        <w:rPr>
                          <w:rStyle w:val="PlaceholderText"/>
                          <w:i/>
                          <w:iCs/>
                          <w:sz w:val="14"/>
                          <w:szCs w:val="14"/>
                          <w:lang w:val="en-GB"/>
                        </w:rPr>
                        <w:t>Cell viability of pu</w:t>
                      </w:r>
                      <w:r>
                        <w:rPr>
                          <w:rStyle w:val="PlaceholderText"/>
                          <w:i/>
                          <w:iCs/>
                          <w:sz w:val="14"/>
                          <w:szCs w:val="14"/>
                          <w:lang w:val="en-GB"/>
                        </w:rPr>
                        <w:t>re polypropylene surface (PP)</w:t>
                      </w:r>
                      <w:r w:rsidRPr="007F66B6">
                        <w:rPr>
                          <w:rStyle w:val="PlaceholderText"/>
                          <w:i/>
                          <w:iCs/>
                          <w:sz w:val="14"/>
                          <w:szCs w:val="14"/>
                          <w:lang w:val="en-GB"/>
                        </w:rPr>
                        <w:t>,</w:t>
                      </w:r>
                      <w:r w:rsidRPr="003E7233">
                        <w:rPr>
                          <w:rStyle w:val="PlaceholderText"/>
                          <w:i/>
                          <w:iCs/>
                          <w:sz w:val="14"/>
                          <w:szCs w:val="14"/>
                          <w:lang w:val="en-GB"/>
                        </w:rPr>
                        <w:t xml:space="preserve"> MEK6 and MEK2Si10 and MEK2Si20 </w:t>
                      </w:r>
                      <w:r>
                        <w:rPr>
                          <w:rStyle w:val="PlaceholderText"/>
                          <w:i/>
                          <w:iCs/>
                          <w:sz w:val="14"/>
                          <w:szCs w:val="14"/>
                          <w:lang w:val="en-GB"/>
                        </w:rPr>
                        <w:t>after 3 and 5 days of culturing.</w:t>
                      </w:r>
                      <w:r w:rsidRPr="007F66B6">
                        <w:rPr>
                          <w:rStyle w:val="PlaceholderText"/>
                          <w:i/>
                          <w:iCs/>
                          <w:sz w:val="14"/>
                          <w:szCs w:val="14"/>
                          <w:lang w:val="en-GB"/>
                        </w:rPr>
                        <w:t xml:space="preserve"> </w:t>
                      </w:r>
                      <w:r>
                        <w:rPr>
                          <w:rStyle w:val="PlaceholderText"/>
                          <w:i/>
                          <w:iCs/>
                          <w:sz w:val="14"/>
                          <w:szCs w:val="14"/>
                          <w:lang w:val="en-GB"/>
                        </w:rPr>
                        <w:t xml:space="preserve">Where Si10 and Si20 stands for the amount of </w:t>
                      </w:r>
                      <w:proofErr w:type="spellStart"/>
                      <w:r>
                        <w:rPr>
                          <w:rStyle w:val="PlaceholderText"/>
                          <w:i/>
                          <w:iCs/>
                          <w:sz w:val="14"/>
                          <w:szCs w:val="14"/>
                          <w:lang w:val="en-GB"/>
                        </w:rPr>
                        <w:t>nanosilica</w:t>
                      </w:r>
                      <w:proofErr w:type="spellEnd"/>
                      <w:r>
                        <w:rPr>
                          <w:rStyle w:val="PlaceholderText"/>
                          <w:i/>
                          <w:iCs/>
                          <w:sz w:val="14"/>
                          <w:szCs w:val="14"/>
                          <w:lang w:val="en-GB"/>
                        </w:rPr>
                        <w:t xml:space="preserve"> surface structure: 10% and 20 % of </w:t>
                      </w:r>
                      <w:proofErr w:type="spellStart"/>
                      <w:r>
                        <w:rPr>
                          <w:rStyle w:val="PlaceholderText"/>
                          <w:i/>
                          <w:iCs/>
                          <w:sz w:val="14"/>
                          <w:szCs w:val="14"/>
                          <w:lang w:val="en-GB"/>
                        </w:rPr>
                        <w:t>nanosilica</w:t>
                      </w:r>
                      <w:proofErr w:type="spellEnd"/>
                      <w:r>
                        <w:rPr>
                          <w:rStyle w:val="PlaceholderText"/>
                          <w:i/>
                          <w:iCs/>
                          <w:sz w:val="14"/>
                          <w:szCs w:val="14"/>
                          <w:lang w:val="en-GB"/>
                        </w:rPr>
                        <w:t xml:space="preserve"> with respect to MEK. MEK: Methyl Ethyl Ketone. Cells were 4T1 </w:t>
                      </w:r>
                      <w:r w:rsidR="002341C4">
                        <w:rPr>
                          <w:rStyle w:val="PlaceholderText"/>
                          <w:i/>
                          <w:iCs/>
                          <w:sz w:val="14"/>
                          <w:szCs w:val="14"/>
                          <w:lang w:val="en-GB"/>
                        </w:rPr>
                        <w:t>mouse mammary</w:t>
                      </w:r>
                      <w:r>
                        <w:rPr>
                          <w:rStyle w:val="PlaceholderText"/>
                          <w:i/>
                          <w:iCs/>
                          <w:sz w:val="14"/>
                          <w:szCs w:val="14"/>
                          <w:lang w:val="en-GB"/>
                        </w:rPr>
                        <w:t xml:space="preserve"> </w:t>
                      </w:r>
                      <w:r w:rsidR="002341C4">
                        <w:rPr>
                          <w:rStyle w:val="PlaceholderText"/>
                          <w:i/>
                          <w:iCs/>
                          <w:sz w:val="14"/>
                          <w:szCs w:val="14"/>
                          <w:lang w:val="en-GB"/>
                        </w:rPr>
                        <w:t>tumour cells</w:t>
                      </w:r>
                      <w:r>
                        <w:rPr>
                          <w:rStyle w:val="PlaceholderText"/>
                          <w:i/>
                          <w:iCs/>
                          <w:sz w:val="14"/>
                          <w:szCs w:val="14"/>
                          <w:lang w:val="en-GB"/>
                        </w:rPr>
                        <w:t>.</w:t>
                      </w:r>
                    </w:p>
                  </w:txbxContent>
                </v:textbox>
                <w10:wrap type="square" anchorx="margin"/>
              </v:shape>
            </w:pict>
          </mc:Fallback>
        </mc:AlternateContent>
      </w:r>
      <w:r w:rsidRPr="00EF524F">
        <w:rPr>
          <w:rFonts w:ascii="Calibri" w:eastAsia="Calibri" w:hAnsi="Calibri" w:cs="Times New Roman"/>
          <w:sz w:val="20"/>
          <w:szCs w:val="20"/>
          <w:lang w:val="en-GB"/>
        </w:rPr>
        <w:t xml:space="preserve">The theory that the pillar size is the original reason behind the non-adhesive cells response is yet to be discussed. Following the suggested mind set, the report of Hejazi et al. shows contradictive results. Why does the apoptosis rate increase when the nanopillar sizes decreased? If the nanopillar size decreases, the floating of cells would be made </w:t>
      </w:r>
      <w:r w:rsidR="002341C4" w:rsidRPr="00EF524F">
        <w:rPr>
          <w:rFonts w:ascii="Calibri" w:eastAsia="Calibri" w:hAnsi="Calibri" w:cs="Times New Roman"/>
          <w:sz w:val="20"/>
          <w:szCs w:val="20"/>
          <w:lang w:val="en-GB"/>
        </w:rPr>
        <w:t>easier</w:t>
      </w:r>
      <w:r w:rsidRPr="00EF524F">
        <w:rPr>
          <w:rFonts w:ascii="Calibri" w:eastAsia="Calibri" w:hAnsi="Calibri" w:cs="Times New Roman"/>
          <w:sz w:val="20"/>
          <w:szCs w:val="20"/>
          <w:lang w:val="en-GB"/>
        </w:rPr>
        <w:t xml:space="preserve"> to be overcome, and cell adhesion would increase.  Additionally, in this report, the water contact angle </w:t>
      </w:r>
      <w:r w:rsidR="002341C4" w:rsidRPr="00EF524F">
        <w:rPr>
          <w:rFonts w:ascii="Calibri" w:eastAsia="Calibri" w:hAnsi="Calibri" w:cs="Times New Roman"/>
          <w:sz w:val="20"/>
          <w:szCs w:val="20"/>
          <w:lang w:val="en-GB"/>
        </w:rPr>
        <w:t>of non</w:t>
      </w:r>
      <w:r w:rsidRPr="00EF524F">
        <w:rPr>
          <w:rFonts w:ascii="Calibri" w:eastAsia="Calibri" w:hAnsi="Calibri" w:cs="Times New Roman"/>
          <w:sz w:val="20"/>
          <w:szCs w:val="20"/>
          <w:lang w:val="en-GB"/>
        </w:rPr>
        <w:t xml:space="preserve">-structural sample MEK6 has a water contact angle of 165° </w:t>
      </w:r>
      <w:r w:rsidRPr="00EF524F">
        <w:rPr>
          <w:rFonts w:ascii="Calibri" w:eastAsia="Calibri" w:hAnsi="Calibri" w:cs="Times New Roman"/>
          <w:i/>
          <w:color w:val="5B9BD5" w:themeColor="accent1"/>
          <w:sz w:val="20"/>
          <w:szCs w:val="20"/>
          <w:lang w:val="en-GB"/>
        </w:rPr>
        <w:t>(Figure 5)</w:t>
      </w:r>
      <w:r w:rsidRPr="00EF524F">
        <w:rPr>
          <w:rFonts w:ascii="Calibri" w:eastAsia="Calibri" w:hAnsi="Calibri" w:cs="Times New Roman"/>
          <w:color w:val="5B9BD5" w:themeColor="accent1"/>
          <w:sz w:val="20"/>
          <w:szCs w:val="20"/>
          <w:lang w:val="en-GB"/>
        </w:rPr>
        <w:t xml:space="preserve"> </w:t>
      </w:r>
      <w:r w:rsidRPr="00EF524F">
        <w:rPr>
          <w:rFonts w:ascii="Calibri" w:eastAsia="Calibri" w:hAnsi="Calibri" w:cs="Times New Roman"/>
          <w:sz w:val="20"/>
          <w:szCs w:val="20"/>
          <w:lang w:val="en-GB"/>
        </w:rPr>
        <w:t xml:space="preserve">and the nanostructural MEK2Si10 and MEK2Si20 have a water contact angle of respectively 147° and 166° </w:t>
      </w:r>
      <w:r w:rsidRPr="00EF524F">
        <w:rPr>
          <w:rFonts w:ascii="Calibri" w:eastAsia="Calibri" w:hAnsi="Calibri" w:cs="Times New Roman"/>
          <w:i/>
          <w:color w:val="5B9BD5" w:themeColor="accent1"/>
          <w:sz w:val="20"/>
          <w:szCs w:val="20"/>
          <w:lang w:val="en-GB"/>
        </w:rPr>
        <w:t>(Table 1)</w:t>
      </w:r>
      <w:r w:rsidRPr="00EF524F">
        <w:rPr>
          <w:rFonts w:ascii="Calibri" w:eastAsia="Calibri" w:hAnsi="Calibri" w:cs="Times New Roman"/>
          <w:color w:val="5B9BD5" w:themeColor="accent1"/>
          <w:sz w:val="20"/>
          <w:szCs w:val="20"/>
          <w:lang w:val="en-GB"/>
        </w:rPr>
        <w:t xml:space="preserve">. </w:t>
      </w:r>
      <w:r w:rsidRPr="00EF524F">
        <w:rPr>
          <w:rFonts w:ascii="Calibri" w:eastAsia="Calibri" w:hAnsi="Calibri" w:cs="Times New Roman"/>
          <w:sz w:val="20"/>
          <w:szCs w:val="20"/>
          <w:lang w:val="en-GB"/>
        </w:rPr>
        <w:t xml:space="preserve">Even though </w:t>
      </w:r>
      <w:r w:rsidRPr="00EF524F">
        <w:rPr>
          <w:rFonts w:ascii="Calibri" w:eastAsia="Calibri" w:hAnsi="Calibri" w:cs="Times New Roman"/>
          <w:sz w:val="20"/>
          <w:szCs w:val="20"/>
          <w:lang w:val="en-GB"/>
        </w:rPr>
        <w:lastRenderedPageBreak/>
        <w:t xml:space="preserve">the water contact angles are all to be have a high wettability, the cell viability (%) is significantly different for MEK2Si10 and MEK2Si20 </w:t>
      </w:r>
      <w:r w:rsidRPr="00EF524F">
        <w:rPr>
          <w:rFonts w:ascii="Calibri" w:eastAsia="Calibri" w:hAnsi="Calibri" w:cs="Times New Roman"/>
          <w:i/>
          <w:color w:val="5B9BD5" w:themeColor="accent1"/>
          <w:sz w:val="20"/>
          <w:szCs w:val="20"/>
          <w:lang w:val="en-GB"/>
        </w:rPr>
        <w:t>(Figure 4)</w:t>
      </w:r>
      <w:r w:rsidRPr="00EF524F">
        <w:rPr>
          <w:rFonts w:ascii="Calibri" w:eastAsia="Calibri" w:hAnsi="Calibri" w:cs="Times New Roman"/>
          <w:sz w:val="20"/>
          <w:szCs w:val="20"/>
          <w:lang w:val="en-GB"/>
        </w:rPr>
        <w:t xml:space="preserve">. Where MEK6 has a cell viability of 40-55%, MEK2Si20 and MEK2Si20 have a decreased cell viability to even 5-10%. The </w:t>
      </w:r>
      <w:r w:rsidRPr="00EF524F">
        <w:rPr>
          <w:rFonts w:ascii="Calibri" w:eastAsia="Calibri" w:hAnsi="Calibri" w:cs="Times New Roman"/>
          <w:noProof/>
          <w:lang w:eastAsia="nl-NL"/>
        </w:rPr>
        <w:drawing>
          <wp:anchor distT="0" distB="0" distL="114300" distR="114300" simplePos="0" relativeHeight="251673600" behindDoc="0" locked="0" layoutInCell="1" allowOverlap="1" wp14:anchorId="179F991A" wp14:editId="60C12E72">
            <wp:simplePos x="0" y="0"/>
            <wp:positionH relativeFrom="margin">
              <wp:posOffset>-42862</wp:posOffset>
            </wp:positionH>
            <wp:positionV relativeFrom="paragraph">
              <wp:posOffset>771684</wp:posOffset>
            </wp:positionV>
            <wp:extent cx="2357120" cy="1517015"/>
            <wp:effectExtent l="0" t="0" r="5080" b="698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3187" t="50351" r="50352" b="11185"/>
                    <a:stretch/>
                  </pic:blipFill>
                  <pic:spPr bwMode="auto">
                    <a:xfrm>
                      <a:off x="0" y="0"/>
                      <a:ext cx="2357120" cy="1517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524F">
        <w:rPr>
          <w:rFonts w:ascii="Calibri" w:eastAsia="Calibri" w:hAnsi="Calibri" w:cs="Times New Roman"/>
          <w:sz w:val="20"/>
          <w:szCs w:val="20"/>
          <w:lang w:val="en-GB"/>
        </w:rPr>
        <w:t xml:space="preserve">argument that wettability in this case would ensure a different cell viability is therefore not sufficient enough. </w:t>
      </w:r>
    </w:p>
    <w:p w14:paraId="67BE2017"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noProof/>
          <w:lang w:val="en-GB" w:eastAsia="nl-NL"/>
        </w:rPr>
        <w:t xml:space="preserve"> </w:t>
      </w:r>
    </w:p>
    <w:p w14:paraId="03E1FA49"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0F4B7387"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b/>
          <w:sz w:val="20"/>
          <w:szCs w:val="20"/>
          <w:lang w:val="en-GB"/>
        </w:rPr>
      </w:pPr>
      <w:r w:rsidRPr="00EF524F">
        <w:rPr>
          <w:rFonts w:ascii="Calibri" w:eastAsia="Calibri" w:hAnsi="Calibri" w:cs="Times New Roman"/>
          <w:noProof/>
          <w:shd w:val="clear" w:color="auto" w:fill="FFFFFF"/>
          <w:lang w:eastAsia="nl-NL"/>
        </w:rPr>
        <mc:AlternateContent>
          <mc:Choice Requires="wps">
            <w:drawing>
              <wp:anchor distT="0" distB="0" distL="114300" distR="114300" simplePos="0" relativeHeight="251670528" behindDoc="0" locked="0" layoutInCell="1" allowOverlap="1" wp14:anchorId="6E1FA780" wp14:editId="4F69BC68">
                <wp:simplePos x="0" y="0"/>
                <wp:positionH relativeFrom="margin">
                  <wp:posOffset>2471261</wp:posOffset>
                </wp:positionH>
                <wp:positionV relativeFrom="paragraph">
                  <wp:posOffset>305912</wp:posOffset>
                </wp:positionV>
                <wp:extent cx="3200400" cy="685800"/>
                <wp:effectExtent l="0" t="0" r="0" b="0"/>
                <wp:wrapSquare wrapText="bothSides"/>
                <wp:docPr id="25" name="Tekstvak 2"/>
                <wp:cNvGraphicFramePr/>
                <a:graphic xmlns:a="http://schemas.openxmlformats.org/drawingml/2006/main">
                  <a:graphicData uri="http://schemas.microsoft.com/office/word/2010/wordprocessingShape">
                    <wps:wsp>
                      <wps:cNvSpPr txBox="1"/>
                      <wps:spPr>
                        <a:xfrm>
                          <a:off x="0" y="0"/>
                          <a:ext cx="3200400" cy="685800"/>
                        </a:xfrm>
                        <a:prstGeom prst="rect">
                          <a:avLst/>
                        </a:prstGeom>
                        <a:noFill/>
                        <a:ln>
                          <a:noFill/>
                          <a:prstDash/>
                        </a:ln>
                      </wps:spPr>
                      <wps:txbx>
                        <w:txbxContent>
                          <w:p w14:paraId="1E96B0B9" w14:textId="77777777" w:rsidR="00EF524F" w:rsidRDefault="00EF524F" w:rsidP="00EF524F">
                            <w:pPr>
                              <w:pBdr>
                                <w:top w:val="single" w:sz="36" w:space="6" w:color="000000"/>
                                <w:bottom w:val="single" w:sz="18" w:space="6" w:color="A8D08D"/>
                              </w:pBdr>
                              <w:spacing w:after="0"/>
                            </w:pPr>
                            <w:r w:rsidRPr="007F66B6">
                              <w:rPr>
                                <w:rStyle w:val="PlaceholderText"/>
                                <w:i/>
                                <w:iCs/>
                                <w:color w:val="5B9BD5" w:themeColor="accent1"/>
                                <w:sz w:val="14"/>
                                <w:szCs w:val="14"/>
                                <w:lang w:val="en-GB"/>
                              </w:rPr>
                              <w:t xml:space="preserve">Fig. 5. </w:t>
                            </w:r>
                            <w:r w:rsidRPr="007F66B6">
                              <w:rPr>
                                <w:rStyle w:val="PlaceholderText"/>
                                <w:i/>
                                <w:iCs/>
                                <w:sz w:val="14"/>
                                <w:szCs w:val="14"/>
                                <w:lang w:val="en-GB"/>
                              </w:rPr>
                              <w:t>Water Contact Angle of MEK6 at 165°.</w:t>
                            </w:r>
                            <w:r>
                              <w:rPr>
                                <w:rStyle w:val="PlaceholderText"/>
                                <w:i/>
                                <w:iCs/>
                                <w:sz w:val="14"/>
                                <w:szCs w:val="14"/>
                                <w:lang w:val="en-GB"/>
                              </w:rPr>
                              <w:t xml:space="preserve"> Methyl Ethyl Ketone with 6 ml in 10 ml p-xylene solvent. At 6 ml, the water contact angle is ±166°.</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E1FA780" id="_x0000_s1031" type="#_x0000_t202" style="position:absolute;left:0;text-align:left;margin-left:194.6pt;margin-top:24.1pt;width:252pt;height:5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" filled="f" stroked="f">
                <v:textbox>
                  <w:txbxContent>
                    <w:p w14:paraId="1E96B0B9" w14:textId="77777777" w:rsidR="00EF524F" w:rsidRDefault="00EF524F" w:rsidP="00EF524F">
                      <w:pPr>
                        <w:pBdr>
                          <w:top w:val="single" w:sz="36" w:space="6" w:color="000000"/>
                          <w:bottom w:val="single" w:sz="18" w:space="6" w:color="A8D08D"/>
                        </w:pBdr>
                        <w:spacing w:after="0"/>
                      </w:pPr>
                      <w:r w:rsidRPr="007F66B6">
                        <w:rPr>
                          <w:rStyle w:val="Tekstvantijdelijkeaanduiding"/>
                          <w:i/>
                          <w:iCs/>
                          <w:color w:val="5B9BD5" w:themeColor="accent1"/>
                          <w:sz w:val="14"/>
                          <w:szCs w:val="14"/>
                          <w:lang w:val="en-GB"/>
                        </w:rPr>
                        <w:t xml:space="preserve">Fig. 5. </w:t>
                      </w:r>
                      <w:r w:rsidRPr="007F66B6">
                        <w:rPr>
                          <w:rStyle w:val="Tekstvantijdelijkeaanduiding"/>
                          <w:i/>
                          <w:iCs/>
                          <w:sz w:val="14"/>
                          <w:szCs w:val="14"/>
                          <w:lang w:val="en-GB"/>
                        </w:rPr>
                        <w:t>Water Contact Angle of MEK6 at 165°.</w:t>
                      </w:r>
                      <w:r>
                        <w:rPr>
                          <w:rStyle w:val="Tekstvantijdelijkeaanduiding"/>
                          <w:i/>
                          <w:iCs/>
                          <w:sz w:val="14"/>
                          <w:szCs w:val="14"/>
                          <w:lang w:val="en-GB"/>
                        </w:rPr>
                        <w:t xml:space="preserve"> Methyl Ethyl Ketone with 6 ml in 10 ml p-xylene solvent. At 6 ml, the water contact angle is ±166°.</w:t>
                      </w:r>
                    </w:p>
                  </w:txbxContent>
                </v:textbox>
                <w10:wrap type="square" anchorx="margin"/>
              </v:shape>
            </w:pict>
          </mc:Fallback>
        </mc:AlternateContent>
      </w:r>
    </w:p>
    <w:p w14:paraId="5C9BAD93"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b/>
          <w:sz w:val="20"/>
          <w:szCs w:val="20"/>
          <w:lang w:val="en-GB"/>
        </w:rPr>
      </w:pPr>
    </w:p>
    <w:p w14:paraId="5B5ECEB2"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b/>
          <w:sz w:val="20"/>
          <w:szCs w:val="20"/>
          <w:lang w:val="en-GB"/>
        </w:rPr>
      </w:pPr>
      <w:r w:rsidRPr="00EF524F">
        <w:rPr>
          <w:rFonts w:ascii="Calibri" w:eastAsia="Calibri" w:hAnsi="Calibri" w:cs="Times New Roman"/>
          <w:noProof/>
          <w:lang w:eastAsia="nl-NL"/>
        </w:rPr>
        <w:drawing>
          <wp:anchor distT="0" distB="0" distL="114300" distR="114300" simplePos="0" relativeHeight="251671552" behindDoc="0" locked="0" layoutInCell="1" allowOverlap="1" wp14:anchorId="266DB2A1" wp14:editId="596AA3F4">
            <wp:simplePos x="0" y="0"/>
            <wp:positionH relativeFrom="margin">
              <wp:align>left</wp:align>
            </wp:positionH>
            <wp:positionV relativeFrom="paragraph">
              <wp:posOffset>408305</wp:posOffset>
            </wp:positionV>
            <wp:extent cx="5657850" cy="527050"/>
            <wp:effectExtent l="0" t="0" r="0" b="63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257" t="47262" r="23186" b="43281"/>
                    <a:stretch/>
                  </pic:blipFill>
                  <pic:spPr bwMode="auto">
                    <a:xfrm>
                      <a:off x="0" y="0"/>
                      <a:ext cx="5657850" cy="52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2C6AE3"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b/>
          <w:sz w:val="20"/>
          <w:szCs w:val="20"/>
          <w:lang w:val="en-GB"/>
        </w:rPr>
      </w:pPr>
      <w:r w:rsidRPr="00EF524F">
        <w:rPr>
          <w:rFonts w:ascii="Calibri" w:eastAsia="Calibri" w:hAnsi="Calibri" w:cs="Times New Roman"/>
          <w:noProof/>
          <w:shd w:val="clear" w:color="auto" w:fill="FFFFFF"/>
          <w:lang w:eastAsia="nl-NL"/>
        </w:rPr>
        <mc:AlternateContent>
          <mc:Choice Requires="wps">
            <w:drawing>
              <wp:anchor distT="0" distB="0" distL="114300" distR="114300" simplePos="0" relativeHeight="251672576" behindDoc="0" locked="0" layoutInCell="1" allowOverlap="1" wp14:anchorId="6B209CD5" wp14:editId="5D2D855F">
                <wp:simplePos x="0" y="0"/>
                <wp:positionH relativeFrom="margin">
                  <wp:align>right</wp:align>
                </wp:positionH>
                <wp:positionV relativeFrom="paragraph">
                  <wp:posOffset>948690</wp:posOffset>
                </wp:positionV>
                <wp:extent cx="5778500" cy="492760"/>
                <wp:effectExtent l="0" t="0" r="0" b="2540"/>
                <wp:wrapSquare wrapText="bothSides"/>
                <wp:docPr id="26" name="Tekstvak 2"/>
                <wp:cNvGraphicFramePr/>
                <a:graphic xmlns:a="http://schemas.openxmlformats.org/drawingml/2006/main">
                  <a:graphicData uri="http://schemas.microsoft.com/office/word/2010/wordprocessingShape">
                    <wps:wsp>
                      <wps:cNvSpPr txBox="1"/>
                      <wps:spPr>
                        <a:xfrm>
                          <a:off x="0" y="0"/>
                          <a:ext cx="5778500" cy="492760"/>
                        </a:xfrm>
                        <a:prstGeom prst="rect">
                          <a:avLst/>
                        </a:prstGeom>
                        <a:noFill/>
                        <a:ln>
                          <a:noFill/>
                          <a:prstDash/>
                        </a:ln>
                      </wps:spPr>
                      <wps:txbx>
                        <w:txbxContent>
                          <w:p w14:paraId="105A5201" w14:textId="77777777" w:rsidR="00EF524F" w:rsidRPr="00EF524F" w:rsidRDefault="00EF524F" w:rsidP="00EF524F">
                            <w:pPr>
                              <w:pBdr>
                                <w:top w:val="single" w:sz="36" w:space="6" w:color="000000"/>
                                <w:bottom w:val="single" w:sz="18" w:space="6" w:color="A8D08D"/>
                              </w:pBdr>
                              <w:spacing w:after="0"/>
                              <w:rPr>
                                <w:lang w:val="en-GB"/>
                              </w:rPr>
                            </w:pPr>
                            <w:r>
                              <w:rPr>
                                <w:rStyle w:val="PlaceholderText"/>
                                <w:i/>
                                <w:iCs/>
                                <w:color w:val="4472C4"/>
                                <w:sz w:val="14"/>
                                <w:szCs w:val="14"/>
                                <w:lang w:val="en-GB"/>
                              </w:rPr>
                              <w:t xml:space="preserve">Table.1. </w:t>
                            </w:r>
                            <w:r>
                              <w:rPr>
                                <w:rStyle w:val="PlaceholderText"/>
                                <w:i/>
                                <w:iCs/>
                                <w:sz w:val="14"/>
                                <w:szCs w:val="14"/>
                                <w:lang w:val="en-GB"/>
                              </w:rPr>
                              <w:t xml:space="preserve">Water Contact Angle of MEK2Si10;20;30.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6B209CD5" id="_x0000_s1032" type="#_x0000_t202" style="position:absolute;left:0;text-align:left;margin-left:403.8pt;margin-top:74.7pt;width:455pt;height:38.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" filled="f" stroked="f">
                <v:textbox>
                  <w:txbxContent>
                    <w:p w14:paraId="105A5201" w14:textId="77777777" w:rsidR="00EF524F" w:rsidRPr="00EF524F" w:rsidRDefault="00EF524F" w:rsidP="00EF524F">
                      <w:pPr>
                        <w:pBdr>
                          <w:top w:val="single" w:sz="36" w:space="6" w:color="000000"/>
                          <w:bottom w:val="single" w:sz="18" w:space="6" w:color="A8D08D"/>
                        </w:pBdr>
                        <w:spacing w:after="0"/>
                        <w:rPr>
                          <w:lang w:val="en-GB"/>
                        </w:rPr>
                      </w:pPr>
                      <w:r>
                        <w:rPr>
                          <w:rStyle w:val="Tekstvantijdelijkeaanduiding"/>
                          <w:i/>
                          <w:iCs/>
                          <w:color w:val="4472C4"/>
                          <w:sz w:val="14"/>
                          <w:szCs w:val="14"/>
                          <w:lang w:val="en-GB"/>
                        </w:rPr>
                        <w:t xml:space="preserve">Table.1. </w:t>
                      </w:r>
                      <w:r>
                        <w:rPr>
                          <w:rStyle w:val="Tekstvantijdelijkeaanduiding"/>
                          <w:i/>
                          <w:iCs/>
                          <w:sz w:val="14"/>
                          <w:szCs w:val="14"/>
                          <w:lang w:val="en-GB"/>
                        </w:rPr>
                        <w:t xml:space="preserve">Water Contact Angle of MEK2Si10;20;30. </w:t>
                      </w:r>
                    </w:p>
                  </w:txbxContent>
                </v:textbox>
                <w10:wrap type="square" anchorx="margin"/>
              </v:shape>
            </w:pict>
          </mc:Fallback>
        </mc:AlternateContent>
      </w:r>
    </w:p>
    <w:p w14:paraId="460D79B4"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b/>
          <w:sz w:val="20"/>
          <w:szCs w:val="20"/>
          <w:lang w:val="en-GB"/>
        </w:rPr>
      </w:pPr>
    </w:p>
    <w:p w14:paraId="0E02D62B"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b/>
          <w:sz w:val="20"/>
          <w:szCs w:val="20"/>
          <w:lang w:val="en-GB"/>
        </w:rPr>
      </w:pPr>
      <w:r w:rsidRPr="00EF524F">
        <w:rPr>
          <w:rFonts w:ascii="Calibri" w:eastAsia="Calibri" w:hAnsi="Calibri" w:cs="Times New Roman"/>
          <w:b/>
          <w:sz w:val="20"/>
          <w:szCs w:val="20"/>
          <w:lang w:val="en-GB"/>
        </w:rPr>
        <w:t>The mechanical damage of nanopillars.</w:t>
      </w:r>
    </w:p>
    <w:p w14:paraId="1DDEF90E"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Potentially, this apoptosis is due to mechanical damage instead of biochemical interactions. Australian researchers reported the special nanopillar patterns of the Cicada </w:t>
      </w:r>
      <w:proofErr w:type="spellStart"/>
      <w:r w:rsidRPr="00EF524F">
        <w:rPr>
          <w:rFonts w:ascii="Calibri" w:eastAsia="Calibri" w:hAnsi="Calibri" w:cs="Times New Roman"/>
          <w:i/>
          <w:sz w:val="20"/>
          <w:szCs w:val="20"/>
          <w:lang w:val="en-GB"/>
        </w:rPr>
        <w:t>Psaltoda</w:t>
      </w:r>
      <w:proofErr w:type="spellEnd"/>
      <w:r w:rsidRPr="00EF524F">
        <w:rPr>
          <w:rFonts w:ascii="Calibri" w:eastAsia="Calibri" w:hAnsi="Calibri" w:cs="Times New Roman"/>
          <w:i/>
          <w:sz w:val="20"/>
          <w:szCs w:val="20"/>
          <w:lang w:val="en-GB"/>
        </w:rPr>
        <w:t xml:space="preserve"> </w:t>
      </w:r>
      <w:proofErr w:type="spellStart"/>
      <w:r w:rsidRPr="00EF524F">
        <w:rPr>
          <w:rFonts w:ascii="Calibri" w:eastAsia="Calibri" w:hAnsi="Calibri" w:cs="Times New Roman"/>
          <w:i/>
          <w:sz w:val="20"/>
          <w:szCs w:val="20"/>
          <w:lang w:val="en-GB"/>
        </w:rPr>
        <w:t>claripennis</w:t>
      </w:r>
      <w:proofErr w:type="spellEnd"/>
      <w:r w:rsidRPr="00EF524F">
        <w:rPr>
          <w:rFonts w:ascii="Calibri" w:eastAsia="Calibri" w:hAnsi="Calibri" w:cs="Times New Roman"/>
          <w:i/>
          <w:sz w:val="20"/>
          <w:szCs w:val="20"/>
          <w:lang w:val="en-GB"/>
        </w:rPr>
        <w:t xml:space="preserve">. </w:t>
      </w:r>
      <w:r w:rsidRPr="00EF524F">
        <w:rPr>
          <w:rFonts w:ascii="Calibri" w:eastAsia="Calibri" w:hAnsi="Calibri" w:cs="Times New Roman"/>
          <w:sz w:val="20"/>
          <w:szCs w:val="20"/>
          <w:lang w:val="en-GB"/>
        </w:rPr>
        <w:t xml:space="preserve">These researchers reported that the bacteria are pierced and killed by the pointiness of the surface. The nano spikes deforms and penetrates the bacteria, instead of chemical interactions. The killing prevents the bacteria from adhering. This so called ‘bactericidal activity’ on these type of surfaces is the result of mechanical damage, and helped designing antibacterial materials. In this case, the bacteria could be seen to be repelled by the surface, as little to no adhered cells are observed. Hence, in the report of Hejazi et al. the decreased cell viability is potentially resulted by bactericidal activity. Therefore, </w:t>
      </w:r>
      <w:proofErr w:type="spellStart"/>
      <w:r w:rsidRPr="00EF524F">
        <w:rPr>
          <w:rFonts w:ascii="Calibri" w:eastAsia="Calibri" w:hAnsi="Calibri" w:cs="Times New Roman"/>
          <w:sz w:val="20"/>
          <w:szCs w:val="20"/>
          <w:lang w:val="en-GB"/>
        </w:rPr>
        <w:t>nanopillared</w:t>
      </w:r>
      <w:proofErr w:type="spellEnd"/>
      <w:r w:rsidRPr="00EF524F">
        <w:rPr>
          <w:rFonts w:ascii="Calibri" w:eastAsia="Calibri" w:hAnsi="Calibri" w:cs="Times New Roman"/>
          <w:sz w:val="20"/>
          <w:szCs w:val="20"/>
          <w:lang w:val="en-GB"/>
        </w:rPr>
        <w:t xml:space="preserve"> surfaces should not be considered to be ‘’anti-fouling’’ before excluding bactericidal activity.</w:t>
      </w:r>
    </w:p>
    <w:p w14:paraId="0E0541DD"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7ABC8277"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b/>
          <w:sz w:val="20"/>
          <w:szCs w:val="20"/>
          <w:lang w:val="en-GB"/>
        </w:rPr>
      </w:pPr>
      <w:r w:rsidRPr="00EF524F">
        <w:rPr>
          <w:rFonts w:ascii="Calibri" w:eastAsia="Calibri" w:hAnsi="Calibri" w:cs="Times New Roman"/>
          <w:b/>
          <w:sz w:val="20"/>
          <w:szCs w:val="20"/>
          <w:lang w:val="en-GB"/>
        </w:rPr>
        <w:t>Protein absorption and demolition of superhydrophobicity.</w:t>
      </w:r>
    </w:p>
    <w:p w14:paraId="2CE5FE80" w14:textId="735F6802"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Another interesting discussion referring to the report of Hejazi et. al; is there finding that the cell inhibition is significantly present if the surface nanostructure is small. MEK6 was measured to have a nanostructural diameter of 1-2 µm and a cell viability of 40-55%. Questionable is the origin behind this finding; Is there another indirect influence for the decreased cell viability? Other research shows that small nanostructured topography induces protein absorption. As pr</w:t>
      </w:r>
      <w:r w:rsidR="002341C4">
        <w:rPr>
          <w:rFonts w:ascii="Calibri" w:eastAsia="Calibri" w:hAnsi="Calibri" w:cs="Times New Roman"/>
          <w:sz w:val="20"/>
          <w:szCs w:val="20"/>
          <w:lang w:val="en-GB"/>
        </w:rPr>
        <w:t xml:space="preserve">oteins </w:t>
      </w:r>
      <w:r w:rsidRPr="00EF524F">
        <w:rPr>
          <w:rFonts w:ascii="Calibri" w:eastAsia="Calibri" w:hAnsi="Calibri" w:cs="Times New Roman"/>
          <w:sz w:val="20"/>
          <w:szCs w:val="20"/>
          <w:lang w:val="en-GB"/>
        </w:rPr>
        <w:t xml:space="preserve">adhere to the surface, the local surface tension decreases. A small </w:t>
      </w:r>
      <w:r w:rsidR="002341C4" w:rsidRPr="00EF524F">
        <w:rPr>
          <w:rFonts w:ascii="Calibri" w:eastAsia="Calibri" w:hAnsi="Calibri" w:cs="Times New Roman"/>
          <w:sz w:val="20"/>
          <w:szCs w:val="20"/>
          <w:lang w:val="en-GB"/>
        </w:rPr>
        <w:t>number</w:t>
      </w:r>
      <w:r w:rsidRPr="00EF524F">
        <w:rPr>
          <w:rFonts w:ascii="Calibri" w:eastAsia="Calibri" w:hAnsi="Calibri" w:cs="Times New Roman"/>
          <w:sz w:val="20"/>
          <w:szCs w:val="20"/>
          <w:lang w:val="en-GB"/>
        </w:rPr>
        <w:t xml:space="preserve"> of substrates or adhered proteins can change the surface energy and tension. If the surface tension decreases to a critical point, the plastron is not trapped with high stability. Therefore, the plastron can escape and the superhydrophobicity is partially or totally demolished. As a result, cells are not floating on top of the nanostructures, and are able to adhere to the substrate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"10.1021/la049268k", "abstract" : "The effect of surfactants on wetting behavior of super-hydrophobic surfaces was investigated. Super-hydrophobic surfaces were prepared of alkylketene dimer (AKD) by casting the AKD melt in a specially designed mold. Time-dependent studies were carried out, using the axisymmetric drop shape analysis method for contact angle measurement of pure water on AKD surfaces. The results show that both advancing and receding contact angles of water on the AKD surfaces increase over time (\u223c3 days) and reach the values of about 164 and 147\u00b0, respectively. The increase of contact angles is due to the development of a prickly structure on the surface (verified by scanning electron microscopy), which is responsible for its super-hydrophobicity. Aqueous solutions of sodium acetate, sodium dodecyl sulfate, hexadecyltrimethylammonium bromide, and n-decanoyl-n-methylglucamine were used to investigate the wetting of AKD surfaces. Advancing and receding contact angles for various concentrations of different surfactant solutions were measured. The contact angle results were compared to those of a number of pure liquids with surface tensions similar to those of surfactant solutions. It was found that although the surface tensions of pure liquids and surfactant solutions at high concentrations are similar, the contact angles are very different. Furthermore, the usual behavior of super-hydrophobic surfaces that turn super-hydrophilic when the intrinsic contact angle of liquid on a smooth surface (of identical material) is below 90\u00b0 was not observed in the presence of surfactants. The difference in the results for pure liquids and surfactant solutions is explained using an adsorption hypothesis.", "author" : [ { "dropping-particle" : "", "family" : "Mohammadi", "given" : "R", "non-dropping-particle" : "", "parse-names" : false, "suffix" : "" }, { "dropping-particle" : "", "family" : "Wassink", "given" : "J", "non-dropping-particle" : "", "parse-names" : false, "suffix" : "" }, { "dropping-particle" : "", "family" : "Amirfazli", "given" : "A", "non-dropping-particle" : "", "parse-names" : false, "suffix" : "" } ], "id" : "ITEM-1", "issued" : { "date-parts" : [ [ "0" ] ] }, "title" : "Effect of Surfactants on Wetting of Super-Hydrophobic Surfaces", "type" : "article-journal" }, "uris" : [ "http://www.mendeley.com/documents/?uuid=2def4cac-8040-3a18-a340-7cf8dfa97bc4" ] } ], "mendeley" : { "formattedCitation" : "(Mohammadi, Wassink, and Amirfazli n.d.)", "manualFormatting" : "(Mohammadi, Wassink, and Amirfazli)", "plainTextFormattedCitation" : "(Mohammadi, Wassink, and Amirfazli n.d.)", "previouslyFormattedCitation" : "(Mohammadi, Wassink, and Amirfazli n.d.)"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(Mohammadi, Wassink, and Amirfazli)</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As the report does not include protein absorption analysis, it is not to be excluded that protein absorption is the origin behind the cell inhibition. </w:t>
      </w:r>
    </w:p>
    <w:p w14:paraId="0E61444D" w14:textId="08FD0678" w:rsidR="00EF524F" w:rsidRPr="00EF524F" w:rsidRDefault="002341C4" w:rsidP="00EF524F">
      <w:pPr>
        <w:keepNext/>
        <w:keepLines/>
        <w:suppressAutoHyphens/>
        <w:autoSpaceDN w:val="0"/>
        <w:spacing w:before="40" w:after="0" w:line="256" w:lineRule="auto"/>
        <w:textAlignment w:val="baseline"/>
        <w:outlineLvl w:val="1"/>
        <w:rPr>
          <w:rFonts w:asciiTheme="majorHAnsi" w:eastAsiaTheme="majorEastAsia" w:hAnsiTheme="majorHAnsi" w:cstheme="majorBidi"/>
          <w:i/>
          <w:color w:val="4472C4"/>
          <w:sz w:val="32"/>
          <w:szCs w:val="26"/>
          <w:lang w:val="en-GB"/>
        </w:rPr>
      </w:pPr>
      <w:bookmarkStart w:id="6" w:name="_Toc489360364"/>
      <w:r>
        <w:rPr>
          <w:rFonts w:asciiTheme="majorHAnsi" w:eastAsiaTheme="majorEastAsia" w:hAnsiTheme="majorHAnsi" w:cstheme="majorBidi"/>
          <w:color w:val="2E74B5" w:themeColor="accent1" w:themeShade="BF"/>
          <w:sz w:val="32"/>
          <w:szCs w:val="26"/>
          <w:lang w:val="en-GB"/>
        </w:rPr>
        <w:lastRenderedPageBreak/>
        <w:t>Weigh</w:t>
      </w:r>
      <w:r w:rsidR="00EF524F" w:rsidRPr="00EF524F">
        <w:rPr>
          <w:rFonts w:asciiTheme="majorHAnsi" w:eastAsiaTheme="majorEastAsia" w:hAnsiTheme="majorHAnsi" w:cstheme="majorBidi"/>
          <w:color w:val="2E74B5" w:themeColor="accent1" w:themeShade="BF"/>
          <w:sz w:val="32"/>
          <w:szCs w:val="26"/>
          <w:lang w:val="en-GB"/>
        </w:rPr>
        <w:t>ing factor of surface properties.</w:t>
      </w:r>
      <w:bookmarkEnd w:id="6"/>
      <w:r w:rsidR="00EF524F" w:rsidRPr="00EF524F">
        <w:rPr>
          <w:rFonts w:asciiTheme="majorHAnsi" w:eastAsiaTheme="majorEastAsia" w:hAnsiTheme="majorHAnsi" w:cstheme="majorBidi"/>
          <w:color w:val="2E74B5" w:themeColor="accent1" w:themeShade="BF"/>
          <w:sz w:val="32"/>
          <w:szCs w:val="26"/>
          <w:lang w:val="en-GB"/>
        </w:rPr>
        <w:br/>
      </w:r>
    </w:p>
    <w:p w14:paraId="4486029B" w14:textId="1E2C291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Besides the nanopillar diameter size, research shows significant different findings in the influence of topography amplitude size in cell adhesion and focal adhesion sites. Reports show that an increased nanostructural amplitude with a constant diameter, will result in a decreasing stability of the Cassie-Baxter state. This effect is partially proven to be true because of the local contact angle dependence of the Cassie-Baxter and Wenzel states. With a higher amplitude, the local contact angle changes, and will pass the critical angle of Cassie-Baxter preferable state. The contact angle increasing as the roughness amplitude of the surface increases. </w:t>
      </w:r>
      <w:r w:rsidRPr="00EF524F">
        <w:rPr>
          <w:rFonts w:ascii="Calibri" w:eastAsia="Calibri" w:hAnsi="Calibri" w:cs="Times New Roman"/>
          <w:i/>
          <w:color w:val="5B9BD5" w:themeColor="accent1"/>
          <w:sz w:val="20"/>
          <w:szCs w:val="20"/>
          <w:lang w:val="en-GB"/>
        </w:rPr>
        <w:t xml:space="preserve">(Fig. 6) </w:t>
      </w:r>
      <w:r w:rsidRPr="00EF524F">
        <w:rPr>
          <w:rFonts w:ascii="Calibri" w:eastAsia="Calibri" w:hAnsi="Calibri" w:cs="Times New Roman"/>
          <w:sz w:val="20"/>
          <w:szCs w:val="20"/>
          <w:lang w:val="en-GB"/>
        </w:rPr>
        <w:t xml:space="preserve">As earlier mentioned, the Cassie-Baxter state will not be stable and will transform into the Wenzel state. In the Wenzel state, all solid surface area will be in contact with water.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"abstract" : "Superhydrophobic surfaces, with liquid contact angle \u03b8 greater than 150 \u2022 , have important practical applications ranging from self-cleaning window glasses, paints, and fabrics to low-friction surfaces. Many biological surfaces, such as the lotus leaf, have hierarchically structured surface roughness which is optimized for superhydrophobicity through natural selection. Here we present a molecular dynamics study of liquid droplets in contact with self-affine fractal surfaces. Our results indicate that the contact angle for nanodroplets depends strongly on the root-mean-square surface roughness amplitude but is nearly independent of the fractal dimension D f of the surface.", "author" : [ { "dropping-particle" : "", "family" : "Yang", "given" : "C", "non-dropping-particle" : "", "parse-names" : false, "suffix" : "" }, { "dropping-particle" : "", "family" : "Tartaglino", "given" : "U", "non-dropping-particle" : "", "parse-names" : false, "suffix" : "" }, { "dropping-particle" : "", "family" : "Persson", "given" : "B N J", "non-dropping-particle" : "", "parse-names" : false, "suffix" : "" } ], "id" : "ITEM-1", "issued" : { "date-parts" : [ [ "2006" ] ] }, "title" : "Influence of surface roughness on superhydrophobicity", "type" : "article-journal" }, "uris" : [ "http://www.mendeley.com/documents/?uuid=7062fdf9-19f4-3cb7-bc47-20f9978e045f" ] } ], "mendeley" : { "formattedCitation" : "(Yang, Tartaglino, and Persson 2006)", "plainTextFormattedCitation" : "(Yang, Tartaglino, and Persson 2006)", "previouslyFormattedCitation" : "(Yang, Tartaglino, and Persson 2006)"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(Yang, Tartaglino, and Persson 2006)</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Due to the complexity of data that can be analysed while experimenting with cell-response behaviour to different surface topography, reports remain to show contradictive results. </w:t>
      </w:r>
    </w:p>
    <w:p w14:paraId="641EDCD5"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noProof/>
          <w:lang w:eastAsia="nl-NL"/>
        </w:rPr>
        <w:drawing>
          <wp:anchor distT="0" distB="0" distL="114300" distR="114300" simplePos="0" relativeHeight="251674624" behindDoc="0" locked="0" layoutInCell="1" allowOverlap="1" wp14:anchorId="3662803A" wp14:editId="7BDE0E6D">
            <wp:simplePos x="0" y="0"/>
            <wp:positionH relativeFrom="margin">
              <wp:align>left</wp:align>
            </wp:positionH>
            <wp:positionV relativeFrom="paragraph">
              <wp:posOffset>251777</wp:posOffset>
            </wp:positionV>
            <wp:extent cx="2528570" cy="1685925"/>
            <wp:effectExtent l="0" t="0" r="5080" b="9525"/>
            <wp:wrapThrough wrapText="bothSides">
              <wp:wrapPolygon edited="0">
                <wp:start x="0" y="0"/>
                <wp:lineTo x="0" y="21478"/>
                <wp:lineTo x="21481" y="21478"/>
                <wp:lineTo x="21481" y="0"/>
                <wp:lineTo x="0" y="0"/>
              </wp:wrapPolygon>
            </wp:wrapThrough>
            <wp:docPr id="7" name="Afbeelding 1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947" t="41158" r="49885" b="34405"/>
                    <a:stretch/>
                  </pic:blipFill>
                  <pic:spPr bwMode="auto">
                    <a:xfrm>
                      <a:off x="0" y="0"/>
                      <a:ext cx="2534011" cy="16895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0AC022" w14:textId="00B8E9E1"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noProof/>
          <w:shd w:val="clear" w:color="auto" w:fill="FFFFFF"/>
          <w:lang w:eastAsia="nl-NL"/>
        </w:rPr>
        <mc:AlternateContent>
          <mc:Choice Requires="wps">
            <w:drawing>
              <wp:anchor distT="0" distB="0" distL="114300" distR="114300" simplePos="0" relativeHeight="251675648" behindDoc="0" locked="0" layoutInCell="1" allowOverlap="1" wp14:anchorId="10DC783E" wp14:editId="179F8CD9">
                <wp:simplePos x="0" y="0"/>
                <wp:positionH relativeFrom="margin">
                  <wp:align>left</wp:align>
                </wp:positionH>
                <wp:positionV relativeFrom="paragraph">
                  <wp:posOffset>1625600</wp:posOffset>
                </wp:positionV>
                <wp:extent cx="2499995" cy="1181100"/>
                <wp:effectExtent l="0" t="0" r="0" b="0"/>
                <wp:wrapSquare wrapText="bothSides"/>
                <wp:docPr id="23" name="Tekstvak 2"/>
                <wp:cNvGraphicFramePr/>
                <a:graphic xmlns:a="http://schemas.openxmlformats.org/drawingml/2006/main">
                  <a:graphicData uri="http://schemas.microsoft.com/office/word/2010/wordprocessingShape">
                    <wps:wsp>
                      <wps:cNvSpPr txBox="1"/>
                      <wps:spPr>
                        <a:xfrm>
                          <a:off x="0" y="0"/>
                          <a:ext cx="2499995" cy="1181100"/>
                        </a:xfrm>
                        <a:prstGeom prst="rect">
                          <a:avLst/>
                        </a:prstGeom>
                        <a:noFill/>
                        <a:ln>
                          <a:noFill/>
                          <a:prstDash/>
                        </a:ln>
                      </wps:spPr>
                      <wps:txbx>
                        <w:txbxContent>
                          <w:p w14:paraId="0ACCFD6B"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PlaceholderText"/>
                                <w:i/>
                                <w:iCs/>
                                <w:color w:val="404040" w:themeColor="text1" w:themeTint="BF"/>
                                <w:sz w:val="14"/>
                                <w:szCs w:val="14"/>
                                <w:lang w:val="en-GB"/>
                              </w:rPr>
                            </w:pPr>
                            <w:r w:rsidRPr="007F66B6">
                              <w:rPr>
                                <w:rStyle w:val="PlaceholderText"/>
                                <w:i/>
                                <w:iCs/>
                                <w:color w:val="5B9BD5" w:themeColor="accent1"/>
                                <w:sz w:val="14"/>
                                <w:szCs w:val="14"/>
                                <w:lang w:val="en-GB"/>
                              </w:rPr>
                              <w:t xml:space="preserve">Fig. 6. </w:t>
                            </w:r>
                            <w:r w:rsidRPr="00805D73">
                              <w:rPr>
                                <w:rStyle w:val="PlaceholderText"/>
                                <w:i/>
                                <w:iCs/>
                                <w:color w:val="404040" w:themeColor="text1" w:themeTint="BF"/>
                                <w:sz w:val="14"/>
                                <w:szCs w:val="14"/>
                                <w:lang w:val="en-GB"/>
                              </w:rPr>
                              <w:t xml:space="preserve">Schematic of the role of the local contact angle in the transformation between the CB and Wenzel state. The dimensions of the sinusoidal surface determine if the critical local contact angle is violated, which is giving by: </w:t>
                            </w:r>
                            <m:oMath>
                              <m:func>
                                <m:funcPr>
                                  <m:ctrlPr>
                                    <w:rPr>
                                      <w:rStyle w:val="PlaceholderText"/>
                                      <w:rFonts w:ascii="Cambria Math" w:hAnsi="Cambria Math"/>
                                      <w:i/>
                                      <w:iCs/>
                                      <w:color w:val="404040" w:themeColor="text1" w:themeTint="BF"/>
                                      <w:sz w:val="14"/>
                                      <w:szCs w:val="14"/>
                                      <w:lang w:val="en-GB"/>
                                    </w:rPr>
                                  </m:ctrlPr>
                                </m:funcPr>
                                <m:fName>
                                  <m:r>
                                    <m:rPr>
                                      <m:sty m:val="p"/>
                                    </m:rPr>
                                    <w:rPr>
                                      <w:rStyle w:val="PlaceholderText"/>
                                      <w:rFonts w:ascii="Cambria Math" w:hAnsi="Cambria Math"/>
                                      <w:color w:val="404040" w:themeColor="text1" w:themeTint="BF"/>
                                      <w:sz w:val="14"/>
                                      <w:szCs w:val="14"/>
                                      <w:lang w:val="en-GB"/>
                                    </w:rPr>
                                    <m:t>tan</m:t>
                                  </m:r>
                                </m:fName>
                                <m:e>
                                  <m:r>
                                    <w:rPr>
                                      <w:rStyle w:val="PlaceholderText"/>
                                      <w:rFonts w:ascii="Cambria Math" w:hAnsi="Cambria Math"/>
                                      <w:color w:val="404040" w:themeColor="text1" w:themeTint="BF"/>
                                      <w:sz w:val="14"/>
                                      <w:szCs w:val="14"/>
                                      <w:lang w:val="en-GB"/>
                                    </w:rPr>
                                    <m:t>a=dz/dx</m:t>
                                  </m:r>
                                </m:e>
                              </m:func>
                            </m:oMath>
                            <w:r w:rsidRPr="00805D73">
                              <w:rPr>
                                <w:rStyle w:val="PlaceholderText"/>
                                <w:i/>
                                <w:iCs/>
                                <w:color w:val="404040" w:themeColor="text1" w:themeTint="BF"/>
                                <w:sz w:val="14"/>
                                <w:szCs w:val="14"/>
                                <w:lang w:val="en-GB"/>
                              </w:rPr>
                              <w:t xml:space="preserve">  related to </w:t>
                            </w:r>
                            <m:oMath>
                              <m:r>
                                <w:rPr>
                                  <w:rStyle w:val="PlaceholderText"/>
                                  <w:rFonts w:ascii="Cambria Math" w:hAnsi="Cambria Math"/>
                                  <w:color w:val="404040" w:themeColor="text1" w:themeTint="BF"/>
                                  <w:sz w:val="14"/>
                                  <w:szCs w:val="14"/>
                                  <w:lang w:val="en-GB"/>
                                </w:rPr>
                                <m:t>∅=180°-|a|</m:t>
                              </m:r>
                            </m:oMath>
                          </w:p>
                          <w:p w14:paraId="7522ACD6"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PlaceholderText"/>
                                <w:i/>
                                <w:iCs/>
                                <w:color w:val="404040" w:themeColor="text1" w:themeTint="BF"/>
                                <w:sz w:val="14"/>
                                <w:szCs w:val="14"/>
                                <w:lang w:val="en-GB"/>
                              </w:rPr>
                            </w:pPr>
                          </w:p>
                          <w:p w14:paraId="4E4D8C12"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PlaceholderText"/>
                                <w:i/>
                                <w:iCs/>
                                <w:color w:val="404040" w:themeColor="text1" w:themeTint="BF"/>
                                <w:sz w:val="14"/>
                                <w:szCs w:val="14"/>
                                <w:lang w:val="en-GB"/>
                              </w:rPr>
                            </w:pPr>
                            <w:r w:rsidRPr="00805D73">
                              <w:rPr>
                                <w:rStyle w:val="PlaceholderText"/>
                                <w:i/>
                                <w:iCs/>
                                <w:color w:val="404040" w:themeColor="text1" w:themeTint="BF"/>
                                <w:sz w:val="14"/>
                                <w:szCs w:val="14"/>
                                <w:lang w:val="en-GB"/>
                              </w:rPr>
                              <w:t>American Chemical Society 1963.</w:t>
                            </w:r>
                          </w:p>
                          <w:p w14:paraId="100371F9" w14:textId="77777777" w:rsidR="00EF524F" w:rsidRDefault="00EF524F" w:rsidP="00EF524F">
                            <w:pPr>
                              <w:pBdr>
                                <w:top w:val="single" w:sz="36" w:space="6" w:color="000000"/>
                                <w:bottom w:val="single" w:sz="18" w:space="6" w:color="A8D08D"/>
                              </w:pBdr>
                              <w:spacing w:after="0"/>
                            </w:pP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10DC783E" id="_x0000_s1033" type="#_x0000_t202" style="position:absolute;left:0;text-align:left;margin-left:0;margin-top:128pt;width:196.85pt;height:93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" filled="f" stroked="f">
                <v:textbox>
                  <w:txbxContent>
                    <w:p w14:paraId="0ACCFD6B"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PlaceholderText"/>
                          <w:i/>
                          <w:iCs/>
                          <w:color w:val="404040" w:themeColor="text1" w:themeTint="BF"/>
                          <w:sz w:val="14"/>
                          <w:szCs w:val="14"/>
                          <w:lang w:val="en-GB"/>
                        </w:rPr>
                      </w:pPr>
                      <w:r w:rsidRPr="007F66B6">
                        <w:rPr>
                          <w:rStyle w:val="PlaceholderText"/>
                          <w:i/>
                          <w:iCs/>
                          <w:color w:val="5B9BD5" w:themeColor="accent1"/>
                          <w:sz w:val="14"/>
                          <w:szCs w:val="14"/>
                          <w:lang w:val="en-GB"/>
                        </w:rPr>
                        <w:t xml:space="preserve">Fig. 6. </w:t>
                      </w:r>
                      <w:r w:rsidRPr="00805D73">
                        <w:rPr>
                          <w:rStyle w:val="PlaceholderText"/>
                          <w:i/>
                          <w:iCs/>
                          <w:color w:val="404040" w:themeColor="text1" w:themeTint="BF"/>
                          <w:sz w:val="14"/>
                          <w:szCs w:val="14"/>
                          <w:lang w:val="en-GB"/>
                        </w:rPr>
                        <w:t xml:space="preserve">Schematic of the role of the local contact angle in the transformation between the CB and Wenzel state. The dimensions of the sinusoidal surface determine if the critical local contact angle is violated, which is giving by: </w:t>
                      </w:r>
                      <m:oMath>
                        <m:func>
                          <m:funcPr>
                            <m:ctrlPr>
                              <w:rPr>
                                <w:rStyle w:val="PlaceholderText"/>
                                <w:rFonts w:ascii="Cambria Math" w:hAnsi="Cambria Math"/>
                                <w:i/>
                                <w:iCs/>
                                <w:color w:val="404040" w:themeColor="text1" w:themeTint="BF"/>
                                <w:sz w:val="14"/>
                                <w:szCs w:val="14"/>
                                <w:lang w:val="en-GB"/>
                              </w:rPr>
                            </m:ctrlPr>
                          </m:funcPr>
                          <m:fName>
                            <m:r>
                              <m:rPr>
                                <m:sty m:val="p"/>
                              </m:rPr>
                              <w:rPr>
                                <w:rStyle w:val="PlaceholderText"/>
                                <w:rFonts w:ascii="Cambria Math" w:hAnsi="Cambria Math"/>
                                <w:color w:val="404040" w:themeColor="text1" w:themeTint="BF"/>
                                <w:sz w:val="14"/>
                                <w:szCs w:val="14"/>
                                <w:lang w:val="en-GB"/>
                              </w:rPr>
                              <m:t>tan</m:t>
                            </m:r>
                          </m:fName>
                          <m:e>
                            <m:r>
                              <w:rPr>
                                <w:rStyle w:val="PlaceholderText"/>
                                <w:rFonts w:ascii="Cambria Math" w:hAnsi="Cambria Math"/>
                                <w:color w:val="404040" w:themeColor="text1" w:themeTint="BF"/>
                                <w:sz w:val="14"/>
                                <w:szCs w:val="14"/>
                                <w:lang w:val="en-GB"/>
                              </w:rPr>
                              <m:t>a=dz/dx</m:t>
                            </m:r>
                          </m:e>
                        </m:func>
                      </m:oMath>
                      <w:r w:rsidRPr="00805D73">
                        <w:rPr>
                          <w:rStyle w:val="PlaceholderText"/>
                          <w:i/>
                          <w:iCs/>
                          <w:color w:val="404040" w:themeColor="text1" w:themeTint="BF"/>
                          <w:sz w:val="14"/>
                          <w:szCs w:val="14"/>
                          <w:lang w:val="en-GB"/>
                        </w:rPr>
                        <w:t xml:space="preserve">  related to </w:t>
                      </w:r>
                      <m:oMath>
                        <m:r>
                          <w:rPr>
                            <w:rStyle w:val="PlaceholderText"/>
                            <w:rFonts w:ascii="Cambria Math" w:hAnsi="Cambria Math"/>
                            <w:color w:val="404040" w:themeColor="text1" w:themeTint="BF"/>
                            <w:sz w:val="14"/>
                            <w:szCs w:val="14"/>
                            <w:lang w:val="en-GB"/>
                          </w:rPr>
                          <m:t>∅=180°-|a|</m:t>
                        </m:r>
                      </m:oMath>
                    </w:p>
                    <w:p w14:paraId="7522ACD6"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PlaceholderText"/>
                          <w:i/>
                          <w:iCs/>
                          <w:color w:val="404040" w:themeColor="text1" w:themeTint="BF"/>
                          <w:sz w:val="14"/>
                          <w:szCs w:val="14"/>
                          <w:lang w:val="en-GB"/>
                        </w:rPr>
                      </w:pPr>
                    </w:p>
                    <w:p w14:paraId="4E4D8C12" w14:textId="77777777" w:rsidR="00EF524F" w:rsidRPr="00805D73" w:rsidRDefault="00EF524F" w:rsidP="00EF524F">
                      <w:pPr>
                        <w:pBdr>
                          <w:top w:val="single" w:sz="36" w:space="6" w:color="000000" w:themeColor="text1"/>
                          <w:bottom w:val="single" w:sz="18" w:space="6" w:color="A8D08D" w:themeColor="accent6" w:themeTint="99"/>
                        </w:pBdr>
                        <w:spacing w:after="0"/>
                        <w:jc w:val="both"/>
                        <w:rPr>
                          <w:rStyle w:val="PlaceholderText"/>
                          <w:i/>
                          <w:iCs/>
                          <w:color w:val="404040" w:themeColor="text1" w:themeTint="BF"/>
                          <w:sz w:val="14"/>
                          <w:szCs w:val="14"/>
                          <w:lang w:val="en-GB"/>
                        </w:rPr>
                      </w:pPr>
                      <w:r w:rsidRPr="00805D73">
                        <w:rPr>
                          <w:rStyle w:val="PlaceholderText"/>
                          <w:i/>
                          <w:iCs/>
                          <w:color w:val="404040" w:themeColor="text1" w:themeTint="BF"/>
                          <w:sz w:val="14"/>
                          <w:szCs w:val="14"/>
                          <w:lang w:val="en-GB"/>
                        </w:rPr>
                        <w:t>American Chemical Society 1963.</w:t>
                      </w:r>
                    </w:p>
                    <w:p w14:paraId="100371F9" w14:textId="77777777" w:rsidR="00EF524F" w:rsidRDefault="00EF524F" w:rsidP="00EF524F">
                      <w:pPr>
                        <w:pBdr>
                          <w:top w:val="single" w:sz="36" w:space="6" w:color="000000"/>
                          <w:bottom w:val="single" w:sz="18" w:space="6" w:color="A8D08D"/>
                        </w:pBdr>
                        <w:spacing w:after="0"/>
                      </w:pPr>
                    </w:p>
                  </w:txbxContent>
                </v:textbox>
                <w10:wrap type="square" anchorx="margin"/>
              </v:shape>
            </w:pict>
          </mc:Fallback>
        </mc:AlternateContent>
      </w:r>
      <w:r w:rsidRPr="00EF524F">
        <w:rPr>
          <w:rFonts w:ascii="Calibri" w:eastAsia="Calibri" w:hAnsi="Calibri" w:cs="Times New Roman"/>
          <w:sz w:val="20"/>
          <w:szCs w:val="20"/>
          <w:lang w:val="en-GB"/>
        </w:rPr>
        <w:t xml:space="preserve">Surface roughness and chemistry are known as critical factors influencing the cell-behaviour on biomaterials. Although, little seems to be known about the weighting factor of both properties. What is their relative influence to the superhydrophobicity of the surface? Hallab et al. reported that the surface free energy of the substrate was of a higher importance than the surface roughness for the strength of cell adhesion and its further proliferation. On the other hand, </w:t>
      </w:r>
      <w:proofErr w:type="spellStart"/>
      <w:r w:rsidRPr="00EF524F">
        <w:rPr>
          <w:rFonts w:ascii="Calibri" w:eastAsia="Calibri" w:hAnsi="Calibri" w:cs="Times New Roman"/>
          <w:sz w:val="20"/>
          <w:szCs w:val="20"/>
          <w:lang w:val="en-GB"/>
        </w:rPr>
        <w:t>Ponsonnet</w:t>
      </w:r>
      <w:proofErr w:type="spellEnd"/>
      <w:r w:rsidRPr="00EF524F">
        <w:rPr>
          <w:rFonts w:ascii="Calibri" w:eastAsia="Calibri" w:hAnsi="Calibri" w:cs="Times New Roman"/>
          <w:sz w:val="20"/>
          <w:szCs w:val="20"/>
          <w:lang w:val="en-GB"/>
        </w:rPr>
        <w:t xml:space="preserve"> et al. describes experiments on titanium and titanium alloys where the surface energy was a superior factor for adhesion and proliferation, but that with a combined surface roughness, the cell adhesion and proliferation is interrupted. A roughness threshold seem</w:t>
      </w:r>
      <w:r w:rsidR="002341C4">
        <w:rPr>
          <w:rFonts w:ascii="Calibri" w:eastAsia="Calibri" w:hAnsi="Calibri" w:cs="Times New Roman"/>
          <w:sz w:val="20"/>
          <w:szCs w:val="20"/>
          <w:lang w:val="en-GB"/>
        </w:rPr>
        <w:t>s</w:t>
      </w:r>
      <w:r w:rsidRPr="00EF524F">
        <w:rPr>
          <w:rFonts w:ascii="Calibri" w:eastAsia="Calibri" w:hAnsi="Calibri" w:cs="Times New Roman"/>
          <w:sz w:val="20"/>
          <w:szCs w:val="20"/>
          <w:lang w:val="en-GB"/>
        </w:rPr>
        <w:t xml:space="preserve"> to be between (0.08-1 µm). The specific influence of all surface properties should be further explored to elucidate their underlying mechanisms.  </w:t>
      </w:r>
    </w:p>
    <w:p w14:paraId="2A798948"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13945A16"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3D50CA0B" w14:textId="77777777" w:rsidR="00EF524F" w:rsidRPr="00EF524F" w:rsidRDefault="00EF524F" w:rsidP="00EF524F">
      <w:pPr>
        <w:keepNext/>
        <w:keepLines/>
        <w:suppressAutoHyphens/>
        <w:autoSpaceDN w:val="0"/>
        <w:spacing w:before="40" w:after="0" w:line="256" w:lineRule="auto"/>
        <w:textAlignment w:val="baseline"/>
        <w:outlineLvl w:val="1"/>
        <w:rPr>
          <w:rFonts w:asciiTheme="majorHAnsi" w:eastAsiaTheme="majorEastAsia" w:hAnsiTheme="majorHAnsi" w:cstheme="majorBidi"/>
          <w:color w:val="2E74B5" w:themeColor="accent1" w:themeShade="BF"/>
          <w:sz w:val="32"/>
          <w:szCs w:val="26"/>
          <w:lang w:val="en-GB"/>
        </w:rPr>
      </w:pPr>
      <w:bookmarkStart w:id="7" w:name="_Toc489360365"/>
      <w:r w:rsidRPr="00EF524F">
        <w:rPr>
          <w:rFonts w:asciiTheme="majorHAnsi" w:eastAsiaTheme="majorEastAsia" w:hAnsiTheme="majorHAnsi" w:cstheme="majorBidi"/>
          <w:color w:val="2E74B5" w:themeColor="accent1" w:themeShade="BF"/>
          <w:sz w:val="32"/>
          <w:szCs w:val="26"/>
          <w:lang w:val="en-GB"/>
        </w:rPr>
        <w:t>Stability of the plastron.</w:t>
      </w:r>
      <w:bookmarkEnd w:id="7"/>
      <w:r w:rsidRPr="00EF524F">
        <w:rPr>
          <w:rFonts w:asciiTheme="majorHAnsi" w:eastAsiaTheme="majorEastAsia" w:hAnsiTheme="majorHAnsi" w:cstheme="majorBidi"/>
          <w:color w:val="2E74B5" w:themeColor="accent1" w:themeShade="BF"/>
          <w:sz w:val="32"/>
          <w:szCs w:val="26"/>
          <w:lang w:val="en-GB"/>
        </w:rPr>
        <w:t xml:space="preserve"> </w:t>
      </w:r>
      <w:r w:rsidRPr="00EF524F">
        <w:rPr>
          <w:rFonts w:asciiTheme="majorHAnsi" w:eastAsiaTheme="majorEastAsia" w:hAnsiTheme="majorHAnsi" w:cstheme="majorBidi"/>
          <w:color w:val="2E74B5" w:themeColor="accent1" w:themeShade="BF"/>
          <w:sz w:val="32"/>
          <w:szCs w:val="26"/>
          <w:lang w:val="en-GB"/>
        </w:rPr>
        <w:br/>
      </w:r>
    </w:p>
    <w:p w14:paraId="5F63EFD8" w14:textId="5E968FB8"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For the application of superhydrophobic surfaces, the thermodynamic and kinetic stability are very important to ensure its water repellent properties. For the thermodynamic and kinetic stability, the resistance of the plastron to transit into a Wenzel wetting state is a major factor. If the energetic barrier decreases to a critical point, gas escapes out of the roughness, and the surface features will be filled with water and loses its water repellence, changing into the Wenzel state. By local condensation, high pressure, droplet evaporation or</w:t>
      </w:r>
      <w:r w:rsidRPr="00EF524F">
        <w:rPr>
          <w:rFonts w:ascii="Calibri" w:eastAsia="Calibri" w:hAnsi="Calibri" w:cs="Times New Roman"/>
          <w:lang w:val="en-GB"/>
        </w:rPr>
        <w:t xml:space="preserve"> </w:t>
      </w:r>
      <w:r w:rsidRPr="00EF524F">
        <w:rPr>
          <w:rFonts w:ascii="Calibri" w:eastAsia="Calibri" w:hAnsi="Calibri" w:cs="Times New Roman"/>
          <w:sz w:val="20"/>
          <w:szCs w:val="20"/>
          <w:lang w:val="en-GB"/>
        </w:rPr>
        <w:t>hydrostatic pressure, the water droplet could transform in the vapour pha</w:t>
      </w:r>
      <w:r w:rsidR="002341C4">
        <w:rPr>
          <w:rFonts w:ascii="Calibri" w:eastAsia="Calibri" w:hAnsi="Calibri" w:cs="Times New Roman"/>
          <w:sz w:val="20"/>
          <w:szCs w:val="20"/>
          <w:lang w:val="en-GB"/>
        </w:rPr>
        <w:t xml:space="preserve">se and irreversibly transforms </w:t>
      </w:r>
      <w:r w:rsidRPr="00EF524F">
        <w:rPr>
          <w:rFonts w:ascii="Calibri" w:eastAsia="Calibri" w:hAnsi="Calibri" w:cs="Times New Roman"/>
          <w:sz w:val="20"/>
          <w:szCs w:val="20"/>
          <w:lang w:val="en-GB"/>
        </w:rPr>
        <w:t xml:space="preserve">into the Wenzel wetting state </w:t>
      </w:r>
      <w:r w:rsidRPr="00EF524F">
        <w:rPr>
          <w:rFonts w:ascii="Calibri" w:eastAsia="Calibri" w:hAnsi="Calibri" w:cs="Times New Roman"/>
          <w:i/>
          <w:color w:val="4472C4"/>
          <w:sz w:val="20"/>
          <w:szCs w:val="20"/>
          <w:lang w:val="en-GB"/>
        </w:rPr>
        <w:t>(Figure 7).</w:t>
      </w:r>
      <w:r w:rsidRPr="00EF524F">
        <w:rPr>
          <w:rFonts w:ascii="Calibri" w:eastAsia="Calibri" w:hAnsi="Calibri" w:cs="Times New Roman"/>
          <w:color w:val="4472C4"/>
          <w:sz w:val="20"/>
          <w:szCs w:val="20"/>
          <w:lang w:val="en-GB"/>
        </w:rPr>
        <w:t xml:space="preserve"> </w:t>
      </w:r>
      <w:r w:rsidRPr="00EF524F">
        <w:rPr>
          <w:rFonts w:ascii="Calibri" w:eastAsia="Calibri" w:hAnsi="Calibri" w:cs="Times New Roman"/>
          <w:sz w:val="20"/>
          <w:szCs w:val="20"/>
          <w:lang w:val="en-GB"/>
        </w:rPr>
        <w:t xml:space="preserve">The reverse process of the formation of a plastron by air is thermodynamically more difficult to realise. </w:t>
      </w:r>
      <w:r w:rsidRPr="00EF524F">
        <w:rPr>
          <w:rFonts w:ascii="Calibri" w:eastAsia="Calibri" w:hAnsi="Calibri" w:cs="Times New Roman"/>
          <w:lang w:val="en-GB"/>
        </w:rPr>
        <w:t xml:space="preserve"> </w:t>
      </w:r>
      <w:r w:rsidRPr="00EF524F">
        <w:rPr>
          <w:rFonts w:ascii="Calibri" w:eastAsia="Calibri" w:hAnsi="Calibri" w:cs="Times New Roman"/>
          <w:sz w:val="20"/>
          <w:szCs w:val="20"/>
          <w:lang w:val="en-GB"/>
        </w:rPr>
        <w:t xml:space="preserve">Like previously mentioned, the local contact angle has been found to play a main factor in the determination of the state, and little is known about the influence of environmental change in parameters </w:t>
      </w:r>
      <w:r w:rsidR="002341C4">
        <w:rPr>
          <w:rFonts w:ascii="Calibri" w:eastAsia="Calibri" w:hAnsi="Calibri" w:cs="Times New Roman"/>
          <w:sz w:val="20"/>
          <w:szCs w:val="20"/>
          <w:lang w:val="en-GB"/>
        </w:rPr>
        <w:t xml:space="preserve">for the stability of the state </w:t>
      </w:r>
      <w:r w:rsidRPr="00EF524F">
        <w:rPr>
          <w:rFonts w:ascii="Calibri" w:eastAsia="Calibri" w:hAnsi="Calibri" w:cs="Times New Roman"/>
          <w:sz w:val="20"/>
          <w:szCs w:val="20"/>
          <w:lang w:val="en-GB"/>
        </w:rPr>
        <w:t>(</w:t>
      </w:r>
      <w:proofErr w:type="spellStart"/>
      <w:r w:rsidRPr="00EF524F">
        <w:rPr>
          <w:rFonts w:ascii="Calibri" w:eastAsia="Calibri" w:hAnsi="Calibri" w:cs="Times New Roman"/>
          <w:sz w:val="20"/>
          <w:szCs w:val="20"/>
          <w:lang w:val="en-GB"/>
        </w:rPr>
        <w:t>Scarratt</w:t>
      </w:r>
      <w:proofErr w:type="spellEnd"/>
      <w:r w:rsidRPr="00EF524F">
        <w:rPr>
          <w:rFonts w:ascii="Calibri" w:eastAsia="Calibri" w:hAnsi="Calibri" w:cs="Times New Roman"/>
          <w:sz w:val="20"/>
          <w:szCs w:val="20"/>
          <w:lang w:val="en-GB"/>
        </w:rPr>
        <w:t xml:space="preserve"> et al., 2017). One environment that has been recently explored, is the emerging of rough surfaces into water. Even though superhydrophobic surfaces are found in nature at plants, birds or spiders, natural occurring underwater superhydrophobicity seems to be absent. (</w:t>
      </w:r>
      <w:proofErr w:type="spellStart"/>
      <w:r w:rsidRPr="00EF524F">
        <w:rPr>
          <w:rFonts w:ascii="Calibri" w:eastAsia="Calibri" w:hAnsi="Calibri" w:cs="Times New Roman"/>
          <w:sz w:val="20"/>
          <w:szCs w:val="20"/>
          <w:lang w:val="en-GB"/>
        </w:rPr>
        <w:t>Poetes</w:t>
      </w:r>
      <w:proofErr w:type="spellEnd"/>
      <w:r w:rsidRPr="00EF524F">
        <w:rPr>
          <w:rFonts w:ascii="Calibri" w:eastAsia="Calibri" w:hAnsi="Calibri" w:cs="Times New Roman"/>
          <w:sz w:val="20"/>
          <w:szCs w:val="20"/>
          <w:lang w:val="en-GB"/>
        </w:rPr>
        <w:t xml:space="preserve">, </w:t>
      </w:r>
      <w:proofErr w:type="spellStart"/>
      <w:r w:rsidRPr="00EF524F">
        <w:rPr>
          <w:rFonts w:ascii="Calibri" w:eastAsia="Calibri" w:hAnsi="Calibri" w:cs="Times New Roman"/>
          <w:sz w:val="20"/>
          <w:szCs w:val="20"/>
          <w:lang w:val="en-GB"/>
        </w:rPr>
        <w:t>Holtzmann</w:t>
      </w:r>
      <w:proofErr w:type="spellEnd"/>
      <w:r w:rsidRPr="00EF524F">
        <w:rPr>
          <w:rFonts w:ascii="Calibri" w:eastAsia="Calibri" w:hAnsi="Calibri" w:cs="Times New Roman"/>
          <w:sz w:val="20"/>
          <w:szCs w:val="20"/>
          <w:lang w:val="en-GB"/>
        </w:rPr>
        <w:t xml:space="preserve">, </w:t>
      </w:r>
      <w:proofErr w:type="spellStart"/>
      <w:r w:rsidRPr="00EF524F">
        <w:rPr>
          <w:rFonts w:ascii="Calibri" w:eastAsia="Calibri" w:hAnsi="Calibri" w:cs="Times New Roman"/>
          <w:sz w:val="20"/>
          <w:szCs w:val="20"/>
          <w:lang w:val="en-GB"/>
        </w:rPr>
        <w:t>Franze</w:t>
      </w:r>
      <w:proofErr w:type="spellEnd"/>
      <w:r w:rsidRPr="00EF524F">
        <w:rPr>
          <w:rFonts w:ascii="Calibri" w:eastAsia="Calibri" w:hAnsi="Calibri" w:cs="Times New Roman"/>
          <w:sz w:val="20"/>
          <w:szCs w:val="20"/>
          <w:lang w:val="en-GB"/>
        </w:rPr>
        <w:t xml:space="preserve">, &amp; Steiner, 2010) The stability of the plastron in the Cassie-Baxter state is miscible when the solid composite is submerged. This effect was firstly described the </w:t>
      </w:r>
      <w:proofErr w:type="spellStart"/>
      <w:r w:rsidRPr="00EF524F">
        <w:rPr>
          <w:rFonts w:ascii="Calibri" w:eastAsia="Calibri" w:hAnsi="Calibri" w:cs="Times New Roman"/>
          <w:sz w:val="20"/>
          <w:szCs w:val="20"/>
          <w:lang w:val="en-GB"/>
        </w:rPr>
        <w:t>Herminghaus</w:t>
      </w:r>
      <w:proofErr w:type="spellEnd"/>
      <w:r w:rsidRPr="00EF524F">
        <w:rPr>
          <w:rFonts w:ascii="Calibri" w:eastAsia="Calibri" w:hAnsi="Calibri" w:cs="Times New Roman"/>
          <w:sz w:val="20"/>
          <w:szCs w:val="20"/>
          <w:lang w:val="en-GB"/>
        </w:rPr>
        <w:t xml:space="preserve"> in 2000, when he submerged a lotus leaf at a depth of 20 cm’s for a few second, and observed the changing into a Wenzel state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"10.1146/annurev.matsci.38.060407.130335", "abstract" : "Surfaces exhibiting complex topographies, such as those encountered in bi-ology, give rise to an enormously rich variety of interfacial morphologies of a liquid to which they are exposed. In the present article, we elaborate on some basic mechanisms involved in the statics and dynamics of such morphologies, focusing on a few simple paradigm topographies. We demonstrate that dif-ferent liquid interface morphologies on the same sample frequently coexist. To exemplify the impact of the dynamics on the final droplet morphology, we discuss the shape instability of filamentous liquid structures in wedge geometries. We finally show that some side effects that may dominate on a larger scale, such as contact line pinning and contact angle hysteresis, seem to play a minor role on the microscopic scale under study. This establishes the validity of simple theoretical concepts of wetting as a starting point for describing liquids at substrate surfaces of high complexity.", "author" : [ { "dropping-particle" : "", "family" : "Herminghaus", "given" : "Stephan", "non-dropping-particle" : "", "parse-names" : false, "suffix" : "" }, { "dropping-particle" : "", "family" : "Brinkmann", "given" : "Martin", "non-dropping-particle" : "", "parse-names" : false, "suffix" : "" }, { "dropping-particle" : "", "family" : "Seemann", "given" : "Ralf", "non-dropping-particle" : "", "parse-names" : false, "suffix" : "" } ], "container-title" : "Annu. Rev. Mater. Res", "id" : "ITEM-1", "issued" : { "date-parts" : [ [ "2008" ] ] }, "page" : "101-21", "title" : "Wetting and Dewetting of Complex Surface Geometries", "type" : "article-journal", "volume" : "38" }, "uris" : [ "http://www.mendeley.com/documents/?uuid=393fb918-814e-33af-9ea1-0b94939491ac" ] } ], "mendeley" : { "formattedCitation" : "(Herminghaus, Brinkmann, and Seemann 2008)", "plainTextFormattedCitation" : "(Herminghaus, Brinkmann, and Seemann 2008)", "previouslyFormattedCitation" : "(Herminghaus, Brinkmann, and Seemann 2008)"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 xml:space="preserve">(Herminghaus, Brinkmann, and </w:t>
      </w:r>
      <w:r w:rsidRPr="00EF524F">
        <w:rPr>
          <w:rFonts w:ascii="Calibri" w:eastAsia="Calibri" w:hAnsi="Calibri" w:cs="Times New Roman"/>
          <w:noProof/>
          <w:sz w:val="20"/>
          <w:szCs w:val="20"/>
          <w:lang w:val="en-GB"/>
        </w:rPr>
        <w:lastRenderedPageBreak/>
        <w:t>Seemann 2008)</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This phenomenon has also been reported for Teflon surfaces with a hierarchical roughness. The decay of the plastron has been described in two phases, starting with the thinning of the plastron, followed by the transformation of the plastron into surface bubbles.</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"10.1038/nmat3598", "ISSN" : "1476-1122", "author" : [ { "dropping-particle" : "", "family" : "Yao", "given" : "Xi", "non-dropping-particle" : "", "parse-names" : false, "suffix" : "" }, { "dropping-particle" : "", "family" : "Hu", "given" : "Yuhang", "non-dropping-particle" : "", "parse-names" : false, "suffix" : "" }, { "dropping-particle" : "", "family" : "Grinthal", "given" : "Alison", "non-dropping-particle" : "", "parse-names" : false, "suffix" : "" }, { "dropping-particle" : "", "family" : "Wong", "given" : "Tak-Sing", "non-dropping-particle" : "", "parse-names" : false, "suffix" : "" }, { "dropping-particle" : "", "family" : "Mahadevan", "given" : "L.", "non-dropping-particle" : "", "parse-names" : false, "suffix" : "" }, { "dropping-particle" : "", "family" : "Aizenberg", "given" : "Joanna", "non-dropping-particle" : "", "parse-names" : false, "suffix" : "" } ], "container-title" : "doi.org", "id" : "ITEM-1", "issue" : "6", "issued" : { "date-parts" : [ [ "2013" ] ] }, "page" : "529-534", "publisher" : "Springer Nature", "title" : "Adaptive fluid-infused porous films with tunable transparency and wettability", "type" : "article-journal", "volume" : "12" }, "uris" : [ "http://www.mendeley.com/documents/?uuid=23518d78-bb37-3a5d-9e52-7454bc832262" ] } ], "mendeley" : { "formattedCitation" : "(Yao et al. 2013)", "plainTextFormattedCitation" : "(Yao et al. 2013)", "previouslyFormattedCitation" : "(Yao et al. 2013)"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(Yao et al. 2013)</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Taking in to account the increasing amount of publications reviewing superhydrophobic effect, the number of reports investigating the underwater stability of the plastron is surprisingly rare. This seems to be curious, as this effect should arise many interesting questions.</w:t>
      </w:r>
    </w:p>
    <w:p w14:paraId="17F5283C"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noProof/>
          <w:sz w:val="18"/>
          <w:szCs w:val="18"/>
          <w:lang w:eastAsia="nl-NL"/>
        </w:rPr>
        <mc:AlternateContent>
          <mc:Choice Requires="wps">
            <w:drawing>
              <wp:anchor distT="0" distB="0" distL="114300" distR="114300" simplePos="0" relativeHeight="251668480" behindDoc="0" locked="0" layoutInCell="1" allowOverlap="1" wp14:anchorId="3F1A138D" wp14:editId="666CEA27">
                <wp:simplePos x="0" y="0"/>
                <wp:positionH relativeFrom="margin">
                  <wp:posOffset>2757805</wp:posOffset>
                </wp:positionH>
                <wp:positionV relativeFrom="paragraph">
                  <wp:posOffset>2693035</wp:posOffset>
                </wp:positionV>
                <wp:extent cx="3006090" cy="1771015"/>
                <wp:effectExtent l="0" t="0" r="0" b="635"/>
                <wp:wrapSquare wrapText="bothSides"/>
                <wp:docPr id="21" name="Tekstvak 2"/>
                <wp:cNvGraphicFramePr/>
                <a:graphic xmlns:a="http://schemas.openxmlformats.org/drawingml/2006/main">
                  <a:graphicData uri="http://schemas.microsoft.com/office/word/2010/wordprocessingShape">
                    <wps:wsp>
                      <wps:cNvSpPr txBox="1"/>
                      <wps:spPr>
                        <a:xfrm>
                          <a:off x="0" y="0"/>
                          <a:ext cx="3006090" cy="1771015"/>
                        </a:xfrm>
                        <a:prstGeom prst="rect">
                          <a:avLst/>
                        </a:prstGeom>
                        <a:noFill/>
                        <a:ln>
                          <a:noFill/>
                          <a:prstDash/>
                        </a:ln>
                      </wps:spPr>
                      <wps:txbx>
                        <w:txbxContent>
                          <w:p w14:paraId="5525100A" w14:textId="77777777" w:rsidR="00EF524F" w:rsidRPr="00152658" w:rsidRDefault="00EF524F" w:rsidP="00EF524F">
                            <w:pPr>
                              <w:pBdr>
                                <w:top w:val="single" w:sz="36" w:space="6" w:color="000000"/>
                                <w:bottom w:val="single" w:sz="18" w:space="6" w:color="A8D08D"/>
                              </w:pBdr>
                              <w:spacing w:after="0"/>
                              <w:jc w:val="both"/>
                              <w:rPr>
                                <w:lang w:val="en-GB"/>
                              </w:rPr>
                            </w:pPr>
                            <w:r>
                              <w:rPr>
                                <w:rStyle w:val="PlaceholderText"/>
                                <w:i/>
                                <w:iCs/>
                                <w:color w:val="4472C4"/>
                                <w:sz w:val="16"/>
                                <w:szCs w:val="16"/>
                                <w:lang w:val="en-GB"/>
                              </w:rPr>
                              <w:t xml:space="preserve">Fig. 7) </w:t>
                            </w:r>
                            <w:r>
                              <w:rPr>
                                <w:rStyle w:val="PlaceholderText"/>
                                <w:i/>
                                <w:iCs/>
                                <w:color w:val="404040"/>
                                <w:sz w:val="16"/>
                                <w:szCs w:val="16"/>
                                <w:lang w:val="en-GB"/>
                              </w:rPr>
                              <w:t xml:space="preserve">Plastron decay in a schematic overview. A) The plastron is trapped with little contact points. B) By diffusion of air into water, the plastron air layer thins which creates more contact points with water. C) The plastron thins out, forming spherical shaped bubbles. D) As the spherical shaped bubbles are thermodynamically unstable, these quickly dissolve in the water by the increasing hydrostatic pressure. This results in the last state, with increased surface-water contact area. </w:t>
                            </w:r>
                          </w:p>
                          <w:p w14:paraId="09E52787" w14:textId="77777777" w:rsidR="00EF524F" w:rsidRPr="00152658" w:rsidRDefault="00EF524F" w:rsidP="00EF524F">
                            <w:pPr>
                              <w:pBdr>
                                <w:top w:val="single" w:sz="36" w:space="6" w:color="000000"/>
                                <w:bottom w:val="single" w:sz="18" w:space="6" w:color="A8D08D"/>
                              </w:pBdr>
                              <w:spacing w:after="0"/>
                              <w:jc w:val="both"/>
                              <w:rPr>
                                <w:lang w:val="en-GB"/>
                              </w:rPr>
                            </w:pPr>
                          </w:p>
                          <w:p w14:paraId="372A1BFE" w14:textId="77777777" w:rsidR="00EF524F" w:rsidRPr="00152658" w:rsidRDefault="00EF524F" w:rsidP="00EF524F">
                            <w:pPr>
                              <w:pBdr>
                                <w:top w:val="single" w:sz="36" w:space="6" w:color="000000"/>
                                <w:bottom w:val="single" w:sz="18" w:space="6" w:color="A8D08D"/>
                              </w:pBdr>
                              <w:spacing w:after="0"/>
                              <w:rPr>
                                <w:lang w:val="en-GB"/>
                              </w:rPr>
                            </w:pPr>
                            <w:proofErr w:type="spellStart"/>
                            <w:r>
                              <w:rPr>
                                <w:rStyle w:val="PlaceholderText"/>
                                <w:i/>
                                <w:iCs/>
                                <w:color w:val="404040"/>
                                <w:sz w:val="16"/>
                                <w:szCs w:val="16"/>
                                <w:lang w:val="en-GB"/>
                              </w:rPr>
                              <w:t>Poetes</w:t>
                            </w:r>
                            <w:proofErr w:type="spellEnd"/>
                            <w:r>
                              <w:rPr>
                                <w:rStyle w:val="PlaceholderText"/>
                                <w:i/>
                                <w:iCs/>
                                <w:color w:val="404040"/>
                                <w:sz w:val="16"/>
                                <w:szCs w:val="16"/>
                                <w:lang w:val="en-GB"/>
                              </w:rPr>
                              <w:t xml:space="preserve"> et al. ‘’Metastable underwater superhydrophobicity’’ </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F1A138D" id="_x0000_s1034" type="#_x0000_t202" style="position:absolute;left:0;text-align:left;margin-left:217.15pt;margin-top:212.05pt;width:236.7pt;height:139.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" filled="f" stroked="f">
                <v:textbox>
                  <w:txbxContent>
                    <w:p w14:paraId="5525100A" w14:textId="77777777" w:rsidR="00EF524F" w:rsidRPr="00152658" w:rsidRDefault="00EF524F" w:rsidP="00EF524F">
                      <w:pPr>
                        <w:pBdr>
                          <w:top w:val="single" w:sz="36" w:space="6" w:color="000000"/>
                          <w:bottom w:val="single" w:sz="18" w:space="6" w:color="A8D08D"/>
                        </w:pBdr>
                        <w:spacing w:after="0"/>
                        <w:jc w:val="both"/>
                        <w:rPr>
                          <w:lang w:val="en-GB"/>
                        </w:rPr>
                      </w:pPr>
                      <w:r>
                        <w:rPr>
                          <w:rStyle w:val="Tekstvantijdelijkeaanduiding"/>
                          <w:i/>
                          <w:iCs/>
                          <w:color w:val="4472C4"/>
                          <w:sz w:val="16"/>
                          <w:szCs w:val="16"/>
                          <w:lang w:val="en-GB"/>
                        </w:rPr>
                        <w:t xml:space="preserve">Fig. 7) </w:t>
                      </w:r>
                      <w:r>
                        <w:rPr>
                          <w:rStyle w:val="Tekstvantijdelijkeaanduiding"/>
                          <w:i/>
                          <w:iCs/>
                          <w:color w:val="404040"/>
                          <w:sz w:val="16"/>
                          <w:szCs w:val="16"/>
                          <w:lang w:val="en-GB"/>
                        </w:rPr>
                        <w:t xml:space="preserve">Plastron decay in a schematic overview. A) The plastron is trapped with little contact points. B) By diffusion of air into water, the plastron air layer thins which creates more contact points with water. C) The plastron thins out, forming spherical shaped bubbles. D) As the spherical shaped bubbles are thermodynamically unstable, these quickly dissolve in the water by the increasing hydrostatic pressure. This results in the last state, with increased surface-water contact area. </w:t>
                      </w:r>
                    </w:p>
                    <w:p w14:paraId="09E52787" w14:textId="77777777" w:rsidR="00EF524F" w:rsidRPr="00152658" w:rsidRDefault="00EF524F" w:rsidP="00EF524F">
                      <w:pPr>
                        <w:pBdr>
                          <w:top w:val="single" w:sz="36" w:space="6" w:color="000000"/>
                          <w:bottom w:val="single" w:sz="18" w:space="6" w:color="A8D08D"/>
                        </w:pBdr>
                        <w:spacing w:after="0"/>
                        <w:jc w:val="both"/>
                        <w:rPr>
                          <w:lang w:val="en-GB"/>
                        </w:rPr>
                      </w:pPr>
                    </w:p>
                    <w:p w14:paraId="372A1BFE" w14:textId="77777777" w:rsidR="00EF524F" w:rsidRPr="00152658" w:rsidRDefault="00EF524F" w:rsidP="00EF524F">
                      <w:pPr>
                        <w:pBdr>
                          <w:top w:val="single" w:sz="36" w:space="6" w:color="000000"/>
                          <w:bottom w:val="single" w:sz="18" w:space="6" w:color="A8D08D"/>
                        </w:pBdr>
                        <w:spacing w:after="0"/>
                        <w:rPr>
                          <w:lang w:val="en-GB"/>
                        </w:rPr>
                      </w:pPr>
                      <w:proofErr w:type="spellStart"/>
                      <w:r>
                        <w:rPr>
                          <w:rStyle w:val="Tekstvantijdelijkeaanduiding"/>
                          <w:i/>
                          <w:iCs/>
                          <w:color w:val="404040"/>
                          <w:sz w:val="16"/>
                          <w:szCs w:val="16"/>
                          <w:lang w:val="en-GB"/>
                        </w:rPr>
                        <w:t>Poetes</w:t>
                      </w:r>
                      <w:proofErr w:type="spellEnd"/>
                      <w:r>
                        <w:rPr>
                          <w:rStyle w:val="Tekstvantijdelijkeaanduiding"/>
                          <w:i/>
                          <w:iCs/>
                          <w:color w:val="404040"/>
                          <w:sz w:val="16"/>
                          <w:szCs w:val="16"/>
                          <w:lang w:val="en-GB"/>
                        </w:rPr>
                        <w:t xml:space="preserve"> et al. ‘’Metastable underwater superhydrophobicity’’ </w:t>
                      </w:r>
                    </w:p>
                  </w:txbxContent>
                </v:textbox>
                <w10:wrap type="square" anchorx="margin"/>
              </v:shape>
            </w:pict>
          </mc:Fallback>
        </mc:AlternateContent>
      </w:r>
      <w:r w:rsidRPr="00EF524F">
        <w:rPr>
          <w:rFonts w:ascii="Calibri" w:eastAsia="Calibri" w:hAnsi="Calibri" w:cs="Times New Roman"/>
          <w:noProof/>
          <w:lang w:eastAsia="nl-NL"/>
        </w:rPr>
        <w:drawing>
          <wp:anchor distT="0" distB="0" distL="114300" distR="114300" simplePos="0" relativeHeight="251667456" behindDoc="0" locked="0" layoutInCell="1" allowOverlap="1" wp14:anchorId="7B5FC384" wp14:editId="23DC87A1">
            <wp:simplePos x="0" y="0"/>
            <wp:positionH relativeFrom="margin">
              <wp:align>left</wp:align>
            </wp:positionH>
            <wp:positionV relativeFrom="paragraph">
              <wp:posOffset>2646363</wp:posOffset>
            </wp:positionV>
            <wp:extent cx="2686050" cy="1821180"/>
            <wp:effectExtent l="0" t="0" r="0" b="7620"/>
            <wp:wrapThrough wrapText="bothSides">
              <wp:wrapPolygon edited="0">
                <wp:start x="0" y="0"/>
                <wp:lineTo x="0" y="21464"/>
                <wp:lineTo x="21447" y="21464"/>
                <wp:lineTo x="21447" y="0"/>
                <wp:lineTo x="0" y="0"/>
              </wp:wrapPolygon>
            </wp:wrapThrough>
            <wp:docPr id="22"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l="16077" t="30992" r="42186" b="36361"/>
                    <a:stretch>
                      <a:fillRect/>
                    </a:stretch>
                  </pic:blipFill>
                  <pic:spPr>
                    <a:xfrm>
                      <a:off x="0" y="0"/>
                      <a:ext cx="2686050" cy="182118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EF524F">
        <w:rPr>
          <w:rFonts w:ascii="Calibri" w:eastAsia="Calibri" w:hAnsi="Calibri" w:cs="Times New Roman"/>
          <w:sz w:val="20"/>
          <w:szCs w:val="20"/>
          <w:lang w:val="en-GB"/>
        </w:rPr>
        <w:t xml:space="preserve">Current nanotechnology methods have allowed researchers to model the flow in nano/-  micro channels better than ever before. Methods for measuring the plastron thermodynamic robustness usually include applying pressure on the plastron for stability tests, immersion tests and compression tests. A droplet bouncing and impact tests can be used to investigate the thermodynamic robustness of the plastron. To evaluate the topographical damage and durability of the surface, the mechanical robustness of the plastron in the surface roughness can also be evaluated by the use of an abrasion tests. Abrasion tests are used to emulate environmental damage done at the micro-nano topography. To mimic environmental shear forces, like sand abrasion from wind, silica particles are dropped from heights and let vibrating or by letting the particles vibrate on the surface. Recently, abrasion tests including water jet tests examined the thermodynamic robustness of the plastron and its mechanical resistance to applied shear forces by water. Additionally, a Cavitation tests can be assessed to evaluate the surface robustness against water. By applying sonication for an extended time, the topography damage can be explored due to the two-phase decay of the plastrons. When the plastrons explode, they release an enormous amount of energy and high local shear. By tracking the surface wettability at different time intervals, the topography damage due to this effect can be exposed.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"10.1016/j.cis.2017.05.018", "ISSN" : "00018686", "author" : [ { "dropping-particle" : "", "family" : "Scarratt", "given" : "Liam R.J.", "non-dropping-particle" : "", "parse-names" : false, "suffix" : "" }, { "dropping-particle" : "", "family" : "Steiner", "given" : "Ullrich", "non-dropping-particle" : "", "parse-names" : false, "suffix" : "" }, { "dropping-particle" : "", "family" : "Neto", "given" : "Chiara", "non-dropping-particle" : "", "parse-names" : false, "suffix" : "" } ], "container-title" : "Advances in Colloid and Interface Science", "id" : "ITEM-1", "issue" : "xxxx", "issued" : { "date-parts" : [ [ "2017" ] ] }, "page" : "0-1", "publisher" : "Elsevier", "title" : "A review on the mechanical and thermodynamic robustness of superhydrophobic surfaces", "type" : "article-journal" }, "uris" : [ "http://www.mendeley.com/documents/?uuid=045e6a6b-38f2-4c27-901b-a8047ab52fa8" ] } ], "mendeley" : { "formattedCitation" : "(Scarratt, Steiner, and Neto 2017)", "plainTextFormattedCitation" : "(Scarratt, Steiner, and Neto 2017)", "previouslyFormattedCitation" : "(Scarratt, Steiner, and Neto 2017)"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(Scarratt, Steiner, and Neto 2017)</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"10.1016/j.apsusc.2015.01.202", "ISSN" : "01694332", "author" : [ { "dropping-particle" : "", "family" : "Emelyanenko", "given" : "Alexandre M.", "non-dropping-particle" : "", "parse-names" : false, "suffix" : "" }, { "dropping-particle" : "", "family" : "Shagieva", "given" : "Farida M.", "non-dropping-particle" : "", "parse-names" : false, "suffix" : "" }, { "dropping-particle" : "", "family" : "Domantovsky", "given" : "Alexandr G.", "non-dropping-particle" : "", "parse-names" : false, "suffix" : "" }, { "dropping-particle" : "", "family" : "Boinovich", "given" : "Ludmila B.", "non-dropping-particle" : "", "parse-names" : false, "suffix" : "" } ], "container-title" : "Applied Surface Science", "id" : "ITEM-1", "issued" : { "date-parts" : [ [ "2015", "3" ] ] }, "page" : "513-517", "title" : "Nanosecond laser micro- and nanotexturing for the design of a superhydrophobic coating robust against long-term contact with water, cavitation, and abrasion", "type" : "article-journal", "volume" : "332" }, "uris" : [ "http://www.mendeley.com/documents/?uuid=4efe823d-3754-3bf3-80c1-e83cdcd82ce6" ] } ], "mendeley" : { "formattedCitation" : "(Emelyanenko et al. 2015)", "plainTextFormattedCitation" : "(Emelyanenko et al. 2015)", "previouslyFormattedCitation" : "(Emelyanenko et al. 2015)"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(Emelyanenko et al. 2015)</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w:t>
      </w:r>
    </w:p>
    <w:p w14:paraId="33153574" w14:textId="5B31322D"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The simulation methods give revolutionary information, but the molecular flow dynamics in hydrophobic, hydrophilic and emerged nano-channels still remains difficult to be implemented.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"10.1007/s00231-015-1601-8", "ISSN" : "0947-7411", "author" : [ { "dropping-particle" : "", "family" : "Sofos", "given" : "Filippos", "non-dropping-particle" : "", "parse-names" : false, "suffix" : "" }, { "dropping-particle" : "", "family" : "Karakasidis", "given" : "Theodoros E.", "non-dropping-particle" : "", "parse-names" : false, "suffix" : "" }, { "dropping-particle" : "", "family" : "Giannakopoulos", "given" : "Antonios E.", "non-dropping-particle" : "", "parse-names" : false, "suffix" : "" }, { "dropping-particle" : "", "family" : "Liakopoulos", "given" : "Antonios", "non-dropping-particle" : "", "parse-names" : false, "suffix" : "" } ], "container-title" : "Heat and Mass Transfer", "id" : "ITEM-1", "issue" : "1", "issued" : { "date-parts" : [ [ "2016", "1", "5" ] ] }, "page" : "153-162", "publisher" : "Springer Berlin Heidelberg", "title" : "Molecular dynamics simulation on flows in nano-ribbed and nano-grooved channels", "type" : "article-journal", "volume" : "52" }, "uris" : [ "http://www.mendeley.com/documents/?uuid=1b42ff38-a838-3454-865a-d34e150bca3b" ] } ], "mendeley" : { "formattedCitation" : "(Sofos et al. 2016)", "plainTextFormattedCitation" : "(Sofos et al. 2016)", "previouslyFormattedCitation" : "(Sofos et al. 2016)"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(Sofos et al. 2016)</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 xml:space="preserve">. Research has entangled pieces of the influence of pressure, flow speed and tensile strength on superhydrophobic surfaces for other commercial application. Nevertheless, these results are not an accurate and precise model for </w:t>
      </w:r>
      <w:r w:rsidR="002341C4" w:rsidRPr="00EF524F">
        <w:rPr>
          <w:rFonts w:ascii="Calibri" w:eastAsia="Calibri" w:hAnsi="Calibri" w:cs="Times New Roman"/>
          <w:sz w:val="20"/>
          <w:szCs w:val="20"/>
          <w:lang w:val="en-GB"/>
        </w:rPr>
        <w:t>a in vivo tissue specific environmental parameter</w:t>
      </w:r>
      <w:r w:rsidRPr="00EF524F">
        <w:rPr>
          <w:rFonts w:ascii="Calibri" w:eastAsia="Calibri" w:hAnsi="Calibri" w:cs="Times New Roman"/>
          <w:sz w:val="20"/>
          <w:szCs w:val="20"/>
          <w:lang w:val="en-GB"/>
        </w:rPr>
        <w:t xml:space="preserve">. Hence, for an accurate prediction of the wetting state, more researching in the underwater stability of superhydrophobic is necessary </w:t>
      </w:r>
      <w:r w:rsidRPr="00EF524F">
        <w:rPr>
          <w:rFonts w:ascii="Calibri" w:eastAsia="Calibri" w:hAnsi="Calibri" w:cs="Times New Roman"/>
          <w:sz w:val="20"/>
          <w:szCs w:val="20"/>
          <w:lang w:val="en-GB"/>
        </w:rPr>
        <w:fldChar w:fldCharType="begin" w:fldLock="1"/>
      </w:r>
      <w:r w:rsidRPr="00EF524F">
        <w:rPr>
          <w:rFonts w:ascii="Calibri" w:eastAsia="Calibri" w:hAnsi="Calibri" w:cs="Times New Roman"/>
          <w:sz w:val="20"/>
          <w:szCs w:val="20"/>
          <w:lang w:val="en-GB"/>
        </w:rPr>
        <w:instrText>ADDIN CSL_CITATION { "citationItems" : [ { "id" : "ITEM-1", "itemData" : { "DOI" : "10.1016/j.biomaterials.2016.06.050", "ISBN" : "1878-5905 (Electronic)\r0142-9612 (Linking)", "ISSN" : "18785905", "PMID" : "27449946", "abstract" : "Superhydrophobic surfaces are actively studied across a wide range of applications and industries, and are now finding increased use in the biomedical arena as substrates to control protein adsorption, cellular interaction, and bacterial growth, as well as platforms for drug delivery devices and for diagnostic tools. The commonality in the design of these materials is to create a stable or metastable air layer at the material surface, which lends itself to a number of unique properties. These activities are catalyzing the development of new materials, applications, and fabrication techniques, as well as collaborations across material science, chemistry, engineering, and medicine given the interdisciplinary nature of this work. The review begins with a discussion of superhydrophobicity, and then explores biomedical applications that are utilizing superhydrophobicity in depth including material selection characteristics, in\u00a0vitro performance, and in\u00a0vivo performance. General trends are offered for each application in addition to discussion of conflicting data in the literature, and the review concludes with the authors' future perspectives on the utility of superhydrophobic biomaterials for medical applications.", "author" : [ { "dropping-particle" : "", "family" : "Falde", "given" : "Eric J.", "non-dropping-particle" : "", "parse-names" : false, "suffix" : "" }, { "dropping-particle" : "", "family" : "Yohe", "given" : "Stefan T.", "non-dropping-particle" : "", "parse-names" : false, "suffix" : "" }, { "dropping-particle" : "", "family" : "Colson", "given" : "Yolonda L.", "non-dropping-particle" : "", "parse-names" : false, "suffix" : "" }, { "dropping-particle" : "", "family" : "Grinstaff", "given" : "Mark W.", "non-dropping-particle" : "", "parse-names" : false, "suffix" : "" } ], "container-title" : "Biomaterials", "id" : "ITEM-1", "issued" : { "date-parts" : [ [ "2016" ] ] }, "page" : "87-103", "publisher" : "Elsevier Ltd", "title" : "Superhydrophobic materials for biomedical applications", "type" : "article-journal", "volume" : "104" }, "uris" : [ "http://www.mendeley.com/documents/?uuid=f81dd004-f81b-4b17-9381-39dc7284d8f1" ] } ], "mendeley" : { "formattedCitation" : "(Falde et al. 2016)", "plainTextFormattedCitation" : "(Falde et al. 2016)", "previouslyFormattedCitation" : "(Falde et al. 2016)" }, "properties" : { "noteIndex" : 0 }, "schema" : "https://github.com/citation-style-language/schema/raw/master/csl-citation.json" }</w:instrText>
      </w:r>
      <w:r w:rsidRPr="00EF524F">
        <w:rPr>
          <w:rFonts w:ascii="Calibri" w:eastAsia="Calibri" w:hAnsi="Calibri" w:cs="Times New Roman"/>
          <w:sz w:val="20"/>
          <w:szCs w:val="20"/>
          <w:lang w:val="en-GB"/>
        </w:rPr>
        <w:fldChar w:fldCharType="separate"/>
      </w:r>
      <w:r w:rsidRPr="00EF524F">
        <w:rPr>
          <w:rFonts w:ascii="Calibri" w:eastAsia="Calibri" w:hAnsi="Calibri" w:cs="Times New Roman"/>
          <w:noProof/>
          <w:sz w:val="20"/>
          <w:szCs w:val="20"/>
          <w:lang w:val="en-GB"/>
        </w:rPr>
        <w:t>(Falde et al. 2016)</w:t>
      </w:r>
      <w:r w:rsidRPr="00EF524F">
        <w:rPr>
          <w:rFonts w:ascii="Calibri" w:eastAsia="Calibri" w:hAnsi="Calibri" w:cs="Times New Roman"/>
          <w:sz w:val="20"/>
          <w:szCs w:val="20"/>
          <w:lang w:val="en-GB"/>
        </w:rPr>
        <w:fldChar w:fldCharType="end"/>
      </w:r>
      <w:r w:rsidRPr="00EF524F">
        <w:rPr>
          <w:rFonts w:ascii="Calibri" w:eastAsia="Calibri" w:hAnsi="Calibri" w:cs="Times New Roman"/>
          <w:sz w:val="20"/>
          <w:szCs w:val="20"/>
          <w:lang w:val="en-GB"/>
        </w:rPr>
        <w:t>.</w:t>
      </w:r>
    </w:p>
    <w:p w14:paraId="4FB06AB2" w14:textId="7665DB0F"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An in vivo research of the stability of the plastron is hard to realize, due to many experimental challenges. The lack in in vivo experimental data makes it inevitable to understand short and </w:t>
      </w:r>
      <w:r w:rsidR="002341C4" w:rsidRPr="00EF524F">
        <w:rPr>
          <w:rFonts w:ascii="Calibri" w:eastAsia="Calibri" w:hAnsi="Calibri" w:cs="Times New Roman"/>
          <w:sz w:val="20"/>
          <w:szCs w:val="20"/>
          <w:lang w:val="en-GB"/>
        </w:rPr>
        <w:t>long-term</w:t>
      </w:r>
      <w:r w:rsidRPr="00EF524F">
        <w:rPr>
          <w:rFonts w:ascii="Calibri" w:eastAsia="Calibri" w:hAnsi="Calibri" w:cs="Times New Roman"/>
          <w:sz w:val="20"/>
          <w:szCs w:val="20"/>
          <w:lang w:val="en-GB"/>
        </w:rPr>
        <w:t xml:space="preserve"> cell behaviour to superhydrophobic surfaces. This makes it difficult to prevent failure of superhydrophobic properties in medical devices, and are therefore mostly investigated in the occurrence of implant/- or medical device failure. </w:t>
      </w:r>
    </w:p>
    <w:p w14:paraId="3DFA1A69"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3ED40FA0"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68685306" w14:textId="77777777" w:rsidR="00EF524F" w:rsidRPr="00EF524F" w:rsidRDefault="00EF524F" w:rsidP="00EF524F">
      <w:pPr>
        <w:suppressAutoHyphens/>
        <w:autoSpaceDN w:val="0"/>
        <w:spacing w:line="256" w:lineRule="auto"/>
        <w:textAlignment w:val="baseline"/>
        <w:rPr>
          <w:rFonts w:ascii="Calibri" w:eastAsia="Calibri" w:hAnsi="Calibri" w:cs="Times New Roman"/>
          <w:sz w:val="20"/>
          <w:szCs w:val="20"/>
          <w:lang w:val="en-GB"/>
        </w:rPr>
      </w:pPr>
    </w:p>
    <w:p w14:paraId="05460E96"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6BAA3834" w14:textId="77777777" w:rsidR="00EF524F" w:rsidRPr="00EF524F" w:rsidRDefault="00EF524F" w:rsidP="00EF524F">
      <w:pPr>
        <w:keepNext/>
        <w:keepLines/>
        <w:suppressAutoHyphens/>
        <w:autoSpaceDN w:val="0"/>
        <w:spacing w:before="40" w:after="0" w:line="256" w:lineRule="auto"/>
        <w:textAlignment w:val="baseline"/>
        <w:outlineLvl w:val="1"/>
        <w:rPr>
          <w:rFonts w:asciiTheme="majorHAnsi" w:eastAsiaTheme="majorEastAsia" w:hAnsiTheme="majorHAnsi" w:cstheme="majorBidi"/>
          <w:color w:val="2E74B5" w:themeColor="accent1" w:themeShade="BF"/>
          <w:sz w:val="32"/>
          <w:szCs w:val="26"/>
          <w:lang w:val="en-US"/>
        </w:rPr>
      </w:pPr>
      <w:bookmarkStart w:id="8" w:name="_Toc489360366"/>
      <w:r w:rsidRPr="00EF524F">
        <w:rPr>
          <w:rFonts w:asciiTheme="majorHAnsi" w:eastAsiaTheme="majorEastAsia" w:hAnsiTheme="majorHAnsi" w:cstheme="majorBidi"/>
          <w:color w:val="2E74B5" w:themeColor="accent1" w:themeShade="BF"/>
          <w:sz w:val="32"/>
          <w:szCs w:val="26"/>
          <w:lang w:val="en-US"/>
        </w:rPr>
        <w:lastRenderedPageBreak/>
        <w:t>Bacterial adhesion.</w:t>
      </w:r>
      <w:bookmarkEnd w:id="8"/>
      <w:r w:rsidRPr="00EF524F">
        <w:rPr>
          <w:rFonts w:asciiTheme="majorHAnsi" w:eastAsiaTheme="majorEastAsia" w:hAnsiTheme="majorHAnsi" w:cstheme="majorBidi"/>
          <w:color w:val="2E74B5" w:themeColor="accent1" w:themeShade="BF"/>
          <w:sz w:val="32"/>
          <w:szCs w:val="26"/>
          <w:lang w:val="en-US"/>
        </w:rPr>
        <w:t xml:space="preserve"> </w:t>
      </w:r>
    </w:p>
    <w:p w14:paraId="7C3B0711"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7F8B11D4"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A fundamental problem using superhydrophobic materials for non-adhesive materials is that it is difficult to conclude a surface non-adhesive for all cell types. Experiments are usually done with one cell type, giving a type specific result. Every cell type has different responses, like so between mammalian cell and bacteria there is big physicochemical variations, with unequal surface responses. One characterised difference is that mammalian cells, like osteoblasts are commonly around 10-100 µm in diameter, and are known to have flexible membranes which can adapt to the environmental substrate. On the other hand, bacteria are only a few micrometres in size and are distinct in shape. Staphylococci bacteria, which are often associated with biomaterial infection,  </w:t>
      </w:r>
    </w:p>
    <w:p w14:paraId="1537FF8F" w14:textId="2D6D80B5" w:rsidR="00EF524F" w:rsidRPr="00EF524F" w:rsidRDefault="00EF524F" w:rsidP="00EF524F">
      <w:pPr>
        <w:suppressAutoHyphens/>
        <w:autoSpaceDN w:val="0"/>
        <w:spacing w:line="256" w:lineRule="auto"/>
        <w:jc w:val="both"/>
        <w:textAlignment w:val="baseline"/>
        <w:rPr>
          <w:rFonts w:ascii="Calibri" w:eastAsia="Calibri" w:hAnsi="Calibri" w:cs="Times New Roman"/>
          <w:lang w:val="en-GB"/>
        </w:rPr>
      </w:pPr>
      <w:r w:rsidRPr="00EF524F">
        <w:rPr>
          <w:rFonts w:ascii="Calibri" w:eastAsia="Calibri" w:hAnsi="Calibri" w:cs="Times New Roman"/>
          <w:sz w:val="20"/>
          <w:szCs w:val="20"/>
          <w:lang w:val="en-GB"/>
        </w:rPr>
        <w:t xml:space="preserve">Among these studies, some researchers found an increase of bacterial attachment to surfaces features smaller than 100 nm (Park, Banks, Applegate, &amp; Webster, 2008), while others reported a repellent effect to nanostructural surfaces even though the spatial distance was alike.  </w:t>
      </w:r>
      <w:r w:rsidRPr="00EF524F">
        <w:rPr>
          <w:rFonts w:ascii="Calibri" w:eastAsia="Calibri" w:hAnsi="Calibri" w:cs="Times New Roman"/>
          <w:sz w:val="20"/>
          <w:szCs w:val="20"/>
        </w:rPr>
        <w:t xml:space="preserve">(Díaz, Schilardi, dos Santos Claro, Salvarezza, &amp; Fernández Lorenzo de Mele, 2009). </w:t>
      </w:r>
      <w:r w:rsidRPr="00EF524F">
        <w:rPr>
          <w:rFonts w:ascii="Calibri" w:eastAsia="Calibri" w:hAnsi="Calibri" w:cs="Times New Roman"/>
          <w:sz w:val="20"/>
          <w:szCs w:val="20"/>
          <w:lang w:val="en-GB"/>
        </w:rPr>
        <w:t xml:space="preserve">The bacteria </w:t>
      </w:r>
      <w:r w:rsidRPr="00EF524F">
        <w:rPr>
          <w:rFonts w:ascii="Calibri" w:eastAsia="Calibri" w:hAnsi="Calibri" w:cs="Times New Roman"/>
          <w:i/>
          <w:sz w:val="20"/>
          <w:szCs w:val="20"/>
          <w:lang w:val="en-GB"/>
        </w:rPr>
        <w:t>Pseudomonas fluorescence</w:t>
      </w:r>
      <w:r w:rsidRPr="00EF524F">
        <w:rPr>
          <w:rFonts w:ascii="Calibri" w:eastAsia="Calibri" w:hAnsi="Calibri" w:cs="Times New Roman"/>
          <w:sz w:val="20"/>
          <w:szCs w:val="20"/>
          <w:lang w:val="en-GB"/>
        </w:rPr>
        <w:t xml:space="preserve"> used by both reports has a size of 1500 to 5000 nm, although the space between the nanostructures in Diaz et al. was measured to be between 100-200 nm.  I</w:t>
      </w:r>
      <w:r w:rsidR="002341C4">
        <w:rPr>
          <w:rFonts w:ascii="Calibri" w:eastAsia="Calibri" w:hAnsi="Calibri" w:cs="Times New Roman"/>
          <w:sz w:val="20"/>
          <w:szCs w:val="20"/>
          <w:lang w:val="en-GB"/>
        </w:rPr>
        <w:t>f the dimensional</w:t>
      </w:r>
      <w:r w:rsidRPr="00EF524F">
        <w:rPr>
          <w:rFonts w:ascii="Calibri" w:eastAsia="Calibri" w:hAnsi="Calibri" w:cs="Times New Roman"/>
          <w:sz w:val="20"/>
          <w:szCs w:val="20"/>
          <w:lang w:val="en-GB"/>
        </w:rPr>
        <w:t xml:space="preserve"> topography of nanostructures </w:t>
      </w:r>
      <w:r w:rsidR="002341C4" w:rsidRPr="00EF524F">
        <w:rPr>
          <w:rFonts w:ascii="Calibri" w:eastAsia="Calibri" w:hAnsi="Calibri" w:cs="Times New Roman"/>
          <w:sz w:val="20"/>
          <w:szCs w:val="20"/>
          <w:lang w:val="en-GB"/>
        </w:rPr>
        <w:t>is</w:t>
      </w:r>
      <w:r w:rsidRPr="00EF524F">
        <w:rPr>
          <w:rFonts w:ascii="Calibri" w:eastAsia="Calibri" w:hAnsi="Calibri" w:cs="Times New Roman"/>
          <w:sz w:val="20"/>
          <w:szCs w:val="20"/>
          <w:lang w:val="en-GB"/>
        </w:rPr>
        <w:t xml:space="preserve"> smaller than the size of the bacteria, bacteria are not able to attach to the solid composite as the bacteria floats on top of the structures. It seems to be due to the CB effect that the bacteria </w:t>
      </w:r>
      <w:r w:rsidR="002341C4" w:rsidRPr="00EF524F">
        <w:rPr>
          <w:rFonts w:ascii="Calibri" w:eastAsia="Calibri" w:hAnsi="Calibri" w:cs="Times New Roman"/>
          <w:sz w:val="20"/>
          <w:szCs w:val="20"/>
          <w:lang w:val="en-GB"/>
        </w:rPr>
        <w:t>are</w:t>
      </w:r>
      <w:r w:rsidRPr="00EF524F">
        <w:rPr>
          <w:rFonts w:ascii="Calibri" w:eastAsia="Calibri" w:hAnsi="Calibri" w:cs="Times New Roman"/>
          <w:sz w:val="20"/>
          <w:szCs w:val="20"/>
          <w:lang w:val="en-GB"/>
        </w:rPr>
        <w:t xml:space="preserve"> not able to adhere, although sometimes it is just dependent on the bacterial dimensions.</w:t>
      </w:r>
    </w:p>
    <w:p w14:paraId="2053C913"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Just like other cells, bacteria need contact area to release adhesion proteins to survive. Due to the modified roughness and topography, bacteria are dependent on the size of these surface features to be able to adhere. Bacteria are dependent on cell-cell communication to establish a firm adhesion, what is found to be decreased if the spatial roughness size is smaller than 250 nm. These findings should be taking into account when analysing bacterial adhesion behaviour. </w:t>
      </w:r>
    </w:p>
    <w:p w14:paraId="49559340"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Although superhydrophobic rough surfaces are thought to repel bacteria in theory, there are even some arguments to say rougher surfaces even induce bacterial adhesion. A rougher surface means more surface area for attachment, while protecting the bacteria from shear forces.  Besides, hydrophobic biomaterials are known to have a high affinity for various proteins which induce electrostatic interactions with bacteria. Focusing on the influence of the surface topography on adherence behaviour, cells have been more widely investigated than bacteria. </w:t>
      </w:r>
    </w:p>
    <w:p w14:paraId="72FEE4AD"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3797A64D" w14:textId="77777777" w:rsidR="00EF524F" w:rsidRPr="00EF524F" w:rsidRDefault="00EF524F" w:rsidP="00EF524F">
      <w:pPr>
        <w:keepNext/>
        <w:keepLines/>
        <w:suppressAutoHyphens/>
        <w:autoSpaceDN w:val="0"/>
        <w:spacing w:before="40" w:after="0" w:line="256" w:lineRule="auto"/>
        <w:textAlignment w:val="baseline"/>
        <w:outlineLvl w:val="1"/>
        <w:rPr>
          <w:rFonts w:asciiTheme="majorHAnsi" w:eastAsiaTheme="majorEastAsia" w:hAnsiTheme="majorHAnsi" w:cstheme="majorBidi"/>
          <w:color w:val="2E74B5" w:themeColor="accent1" w:themeShade="BF"/>
          <w:sz w:val="32"/>
          <w:szCs w:val="26"/>
          <w:lang w:val="en-GB"/>
        </w:rPr>
      </w:pPr>
      <w:bookmarkStart w:id="9" w:name="_Toc489360367"/>
      <w:r w:rsidRPr="00EF524F">
        <w:rPr>
          <w:rFonts w:asciiTheme="majorHAnsi" w:eastAsiaTheme="majorEastAsia" w:hAnsiTheme="majorHAnsi" w:cstheme="majorBidi"/>
          <w:color w:val="2E74B5" w:themeColor="accent1" w:themeShade="BF"/>
          <w:sz w:val="32"/>
          <w:szCs w:val="26"/>
          <w:lang w:val="en-GB"/>
        </w:rPr>
        <w:t>Conclusion &amp; Discussion</w:t>
      </w:r>
      <w:bookmarkEnd w:id="9"/>
    </w:p>
    <w:p w14:paraId="4FD3AFB7" w14:textId="77777777" w:rsidR="00EF524F" w:rsidRPr="00EF524F" w:rsidRDefault="00EF524F" w:rsidP="00EF524F">
      <w:pPr>
        <w:suppressAutoHyphens/>
        <w:autoSpaceDN w:val="0"/>
        <w:spacing w:line="256" w:lineRule="auto"/>
        <w:textAlignment w:val="baseline"/>
        <w:rPr>
          <w:rFonts w:ascii="Calibri" w:eastAsia="Calibri" w:hAnsi="Calibri" w:cs="Times New Roman"/>
          <w:lang w:val="en-GB"/>
        </w:rPr>
      </w:pPr>
    </w:p>
    <w:p w14:paraId="0708CDDC" w14:textId="743E5A84"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In addition to the roughness of surface nanostructures, the dimensions and physiology of all surface </w:t>
      </w:r>
      <w:r w:rsidR="002341C4" w:rsidRPr="00EF524F">
        <w:rPr>
          <w:rFonts w:ascii="Calibri" w:eastAsia="Calibri" w:hAnsi="Calibri" w:cs="Times New Roman"/>
          <w:sz w:val="20"/>
          <w:szCs w:val="20"/>
          <w:lang w:val="en-GB"/>
        </w:rPr>
        <w:t>molecules, including</w:t>
      </w:r>
      <w:r w:rsidRPr="00EF524F">
        <w:rPr>
          <w:rFonts w:ascii="Calibri" w:eastAsia="Calibri" w:hAnsi="Calibri" w:cs="Times New Roman"/>
          <w:sz w:val="20"/>
          <w:szCs w:val="20"/>
          <w:lang w:val="en-GB"/>
        </w:rPr>
        <w:t xml:space="preserve"> density, surface contact area and spacing are found to be major physical factors for cell adhesion and spreading. Even more, a misunderstanding in the field of superhydrophobic interfaces, seems to be the idea that cells will have no chance to adhere, due to the Cassie-Baxter effect.</w:t>
      </w:r>
      <w:r w:rsidRPr="00EF524F">
        <w:rPr>
          <w:rFonts w:ascii="Calibri" w:eastAsia="Calibri" w:hAnsi="Calibri" w:cs="Times New Roman"/>
          <w:noProof/>
          <w:sz w:val="18"/>
          <w:szCs w:val="18"/>
          <w:lang w:val="en-GB" w:eastAsia="nl-NL"/>
        </w:rPr>
        <w:t xml:space="preserve"> </w:t>
      </w:r>
      <w:commentRangeStart w:id="10"/>
      <w:r w:rsidRPr="00EF524F">
        <w:rPr>
          <w:rFonts w:ascii="Calibri" w:eastAsia="Calibri" w:hAnsi="Calibri" w:cs="Times New Roman"/>
          <w:sz w:val="20"/>
          <w:szCs w:val="20"/>
          <w:lang w:val="en-GB"/>
        </w:rPr>
        <w:t>Many reports prove that adherence of cells still is inevitable to some degree.</w:t>
      </w:r>
      <w:commentRangeEnd w:id="10"/>
      <w:r w:rsidRPr="00EF524F">
        <w:rPr>
          <w:rFonts w:ascii="Calibri" w:eastAsia="Calibri" w:hAnsi="Calibri" w:cs="Times New Roman"/>
          <w:sz w:val="16"/>
          <w:szCs w:val="16"/>
        </w:rPr>
        <w:commentReference w:id="10"/>
      </w:r>
      <w:r w:rsidRPr="00EF524F">
        <w:rPr>
          <w:rFonts w:ascii="Calibri" w:eastAsia="Calibri" w:hAnsi="Calibri" w:cs="Times New Roman"/>
          <w:sz w:val="20"/>
          <w:szCs w:val="20"/>
          <w:lang w:val="en-GB"/>
        </w:rPr>
        <w:t xml:space="preserve"> Cells that adhere to the surface have been reported to change of shape into a more narrower formation, but still proliferate and have metabolic activity. Cells maximize their contact area between cell and surface by aligning themselves with the found nanostructure. Besides, this could also be a result of, accordingly to the Cassie and Baxter model, the not total contact of the cell with the fluids, like a medium suspension. (Hejazi et al., 2015)  </w:t>
      </w:r>
    </w:p>
    <w:p w14:paraId="77CE243F" w14:textId="1BBE871C"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r w:rsidRPr="00EF524F">
        <w:rPr>
          <w:rFonts w:ascii="Calibri" w:eastAsia="Calibri" w:hAnsi="Calibri" w:cs="Times New Roman"/>
          <w:sz w:val="20"/>
          <w:szCs w:val="20"/>
          <w:lang w:val="en-GB"/>
        </w:rPr>
        <w:t xml:space="preserve">As every cell type has their dimensions and characteristics, more research is needed to elucidate cell type specific surface response. Researchers should increase the parameters examined while analysis surfaces.  For the understanding of cellular behaviour of various cell types and different materials, all components present on the surface should be explored, like cell shape, membrane rigidity, mobility and substrate sensing. Bacterial colonization is mostly noted as the average of the entire sample, without the analysis of the cell angle and position. Therefore, the relation between surface topography and microbial colonization is hard to establish. </w:t>
      </w:r>
      <w:r w:rsidRPr="00EF524F">
        <w:rPr>
          <w:rFonts w:ascii="Calibri" w:eastAsia="Calibri" w:hAnsi="Calibri" w:cs="Times New Roman"/>
          <w:sz w:val="20"/>
          <w:szCs w:val="20"/>
          <w:lang w:val="en-GB"/>
        </w:rPr>
        <w:lastRenderedPageBreak/>
        <w:t>Furthermore, a big mistake is defining surfaces is to describe a surface by its fabrication method, instead of precisely defining surface topography measurements. The cell-response to a topography should therefore be considered to depend of the cell size and other surfactants. Next to superhydrophobicity, mechanical surface properties can be the reason for the non-adhesive cell response, like nanospikes membrane piercing. Even more, the topography dimensions could be too small for cells to sink to the substrate and are not able to adhere. In the future, it is needed to elucidate the underlying mechanisms responsible for these contradictive results. Besides, the weighting factor of these mechanisms when combined should be revealed. Although the water contact angle is widely used, it remains difficult to be measured accurately, due to numerous experimental challenges. Partially by to the lack of experimental evidence of fluid dynamics on a micro/- and nanoscale, different models lack in accuracy (</w:t>
      </w:r>
      <w:proofErr w:type="spellStart"/>
      <w:r w:rsidRPr="00EF524F">
        <w:rPr>
          <w:rFonts w:ascii="Calibri" w:eastAsia="Calibri" w:hAnsi="Calibri" w:cs="Times New Roman"/>
          <w:sz w:val="20"/>
          <w:szCs w:val="20"/>
          <w:lang w:val="en-GB"/>
        </w:rPr>
        <w:t>Extrand</w:t>
      </w:r>
      <w:proofErr w:type="spellEnd"/>
      <w:r w:rsidRPr="00EF524F">
        <w:rPr>
          <w:rFonts w:ascii="Calibri" w:eastAsia="Calibri" w:hAnsi="Calibri" w:cs="Times New Roman"/>
          <w:sz w:val="20"/>
          <w:szCs w:val="20"/>
          <w:lang w:val="en-GB"/>
        </w:rPr>
        <w:t xml:space="preserve">). To exclude judgemental errors, </w:t>
      </w:r>
      <w:r w:rsidR="002341C4" w:rsidRPr="00EF524F">
        <w:rPr>
          <w:rFonts w:ascii="Calibri" w:eastAsia="Calibri" w:hAnsi="Calibri" w:cs="Times New Roman"/>
          <w:sz w:val="20"/>
          <w:szCs w:val="20"/>
          <w:lang w:val="en-GB"/>
        </w:rPr>
        <w:t>a</w:t>
      </w:r>
      <w:r w:rsidRPr="00EF524F">
        <w:rPr>
          <w:rFonts w:ascii="Calibri" w:eastAsia="Calibri" w:hAnsi="Calibri" w:cs="Times New Roman"/>
          <w:sz w:val="20"/>
          <w:szCs w:val="20"/>
          <w:lang w:val="en-GB"/>
        </w:rPr>
        <w:t xml:space="preserve"> uniform method of measuring surface wettability is needed. Researchers should not only </w:t>
      </w:r>
      <w:r w:rsidR="002341C4" w:rsidRPr="00EF524F">
        <w:rPr>
          <w:rFonts w:ascii="Calibri" w:eastAsia="Calibri" w:hAnsi="Calibri" w:cs="Times New Roman"/>
          <w:sz w:val="20"/>
          <w:szCs w:val="20"/>
          <w:lang w:val="en-GB"/>
        </w:rPr>
        <w:t>be focusing</w:t>
      </w:r>
      <w:r w:rsidRPr="00EF524F">
        <w:rPr>
          <w:rFonts w:ascii="Calibri" w:eastAsia="Calibri" w:hAnsi="Calibri" w:cs="Times New Roman"/>
          <w:sz w:val="20"/>
          <w:szCs w:val="20"/>
          <w:lang w:val="en-GB"/>
        </w:rPr>
        <w:t xml:space="preserve"> on the water contact angle itself, but should use more parameters to qualify and quantify the superhydrophobicity of a surface interface. Additionally, the stability of the plastron </w:t>
      </w:r>
      <w:bookmarkStart w:id="11" w:name="_GoBack"/>
      <w:bookmarkEnd w:id="11"/>
      <w:r w:rsidRPr="00EF524F">
        <w:rPr>
          <w:rFonts w:ascii="Calibri" w:eastAsia="Calibri" w:hAnsi="Calibri" w:cs="Times New Roman"/>
          <w:sz w:val="20"/>
          <w:szCs w:val="20"/>
          <w:lang w:val="en-GB"/>
        </w:rPr>
        <w:t>should be examined before the utilization of the biomaterial. The plastron is dependent of thermodynamically factors, which could demolish the superhydrophobic property. The stability of the Cassie-Baxter state should be critically reviewed under all conditions that matter for the potential medical application, to prevent the failure of the superhydrophobic properties. For an accelerated use of superhydrophobic surfaces in technological applications and establish a world-wide impact, researchers should move their focus on not only the development of new methods, but also obtain full characterization of surface robustness and durability. (Chen, Gong, Li, &amp; Li, 2016) (</w:t>
      </w:r>
      <w:proofErr w:type="spellStart"/>
      <w:r w:rsidRPr="00EF524F">
        <w:rPr>
          <w:rFonts w:ascii="Calibri" w:eastAsia="Calibri" w:hAnsi="Calibri" w:cs="Times New Roman"/>
          <w:sz w:val="20"/>
          <w:szCs w:val="20"/>
          <w:lang w:val="en-GB"/>
        </w:rPr>
        <w:t>Scarratt</w:t>
      </w:r>
      <w:proofErr w:type="spellEnd"/>
      <w:r w:rsidRPr="00EF524F">
        <w:rPr>
          <w:rFonts w:ascii="Calibri" w:eastAsia="Calibri" w:hAnsi="Calibri" w:cs="Times New Roman"/>
          <w:sz w:val="20"/>
          <w:szCs w:val="20"/>
          <w:lang w:val="en-GB"/>
        </w:rPr>
        <w:t xml:space="preserve"> et al., 2017) Hence, world-wide protocols should be developed for more trustworthy and better comparable results. Besides, this enforces the discussion to not prematurely cite superhydrophobicity as reason for the nanostructured cell response. This will accelerate the understanding of factors involved in nanostructured surfaces, instead of giving contradictive results. In the future, this will accelerate the development of more biocompatible biomaterial surfaces and the movement of superhydrophobic surfaces into real-life medical applications.  </w:t>
      </w:r>
    </w:p>
    <w:p w14:paraId="3A516EFC"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611B9B2D"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sz w:val="20"/>
          <w:szCs w:val="20"/>
          <w:lang w:val="en-GB"/>
        </w:rPr>
      </w:pPr>
    </w:p>
    <w:p w14:paraId="7B1D012F" w14:textId="77777777" w:rsidR="00EF524F" w:rsidRPr="00EF524F" w:rsidRDefault="00EF524F" w:rsidP="00EF524F">
      <w:pPr>
        <w:autoSpaceDN w:val="0"/>
        <w:spacing w:line="256" w:lineRule="auto"/>
        <w:textAlignment w:val="baseline"/>
        <w:rPr>
          <w:rFonts w:asciiTheme="majorHAnsi" w:eastAsiaTheme="majorEastAsia" w:hAnsiTheme="majorHAnsi" w:cstheme="majorBidi"/>
          <w:color w:val="2E74B5" w:themeColor="accent1" w:themeShade="BF"/>
          <w:sz w:val="20"/>
          <w:szCs w:val="20"/>
          <w:lang w:val="en-GB"/>
        </w:rPr>
      </w:pPr>
      <w:r w:rsidRPr="00EF524F">
        <w:rPr>
          <w:rFonts w:ascii="Calibri" w:eastAsia="Calibri" w:hAnsi="Calibri" w:cs="Times New Roman"/>
          <w:sz w:val="20"/>
          <w:szCs w:val="20"/>
          <w:lang w:val="en-GB"/>
        </w:rPr>
        <w:br w:type="page"/>
      </w:r>
    </w:p>
    <w:p w14:paraId="22C3613C" w14:textId="77777777" w:rsidR="00EF524F" w:rsidRPr="00EF524F" w:rsidRDefault="00EF524F" w:rsidP="00EF524F">
      <w:pPr>
        <w:keepNext/>
        <w:keepLines/>
        <w:suppressAutoHyphens/>
        <w:autoSpaceDN w:val="0"/>
        <w:spacing w:before="40" w:after="0" w:line="256" w:lineRule="auto"/>
        <w:textAlignment w:val="baseline"/>
        <w:outlineLvl w:val="1"/>
        <w:rPr>
          <w:rFonts w:ascii="Calibri" w:eastAsiaTheme="majorEastAsia" w:hAnsi="Calibri" w:cstheme="majorBidi"/>
          <w:color w:val="2E74B5" w:themeColor="accent1" w:themeShade="BF"/>
          <w:szCs w:val="26"/>
          <w:lang w:val="en-GB"/>
        </w:rPr>
      </w:pPr>
      <w:bookmarkStart w:id="12" w:name="_Toc489360368"/>
      <w:r w:rsidRPr="00EF524F">
        <w:rPr>
          <w:rFonts w:asciiTheme="majorHAnsi" w:eastAsiaTheme="majorEastAsia" w:hAnsiTheme="majorHAnsi" w:cstheme="majorBidi"/>
          <w:color w:val="2E74B5" w:themeColor="accent1" w:themeShade="BF"/>
          <w:sz w:val="32"/>
          <w:szCs w:val="26"/>
          <w:lang w:val="en-GB"/>
        </w:rPr>
        <w:lastRenderedPageBreak/>
        <w:t>References.</w:t>
      </w:r>
      <w:bookmarkEnd w:id="12"/>
    </w:p>
    <w:p w14:paraId="3C7609B2" w14:textId="77777777" w:rsidR="00EF524F" w:rsidRPr="00EF524F" w:rsidRDefault="00EF524F" w:rsidP="00EF524F">
      <w:pPr>
        <w:widowControl w:val="0"/>
        <w:suppressAutoHyphens/>
        <w:autoSpaceDE w:val="0"/>
        <w:autoSpaceDN w:val="0"/>
        <w:adjustRightInd w:val="0"/>
        <w:spacing w:after="0" w:line="240" w:lineRule="auto"/>
        <w:jc w:val="both"/>
        <w:textAlignment w:val="baseline"/>
        <w:rPr>
          <w:rFonts w:ascii="Times New Roman" w:eastAsia="Calibri" w:hAnsi="Times New Roman" w:cs="Times New Roman"/>
          <w:sz w:val="24"/>
          <w:szCs w:val="24"/>
          <w:lang w:val="en-GB"/>
        </w:rPr>
      </w:pPr>
    </w:p>
    <w:p w14:paraId="175ED5C5"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sz w:val="18"/>
          <w:szCs w:val="18"/>
          <w:lang w:val="en-GB"/>
        </w:rPr>
        <w:fldChar w:fldCharType="begin" w:fldLock="1"/>
      </w:r>
      <w:r w:rsidRPr="00EF524F">
        <w:rPr>
          <w:rFonts w:ascii="Calibri" w:eastAsia="Calibri" w:hAnsi="Calibri" w:cs="Times New Roman"/>
          <w:sz w:val="18"/>
          <w:szCs w:val="18"/>
          <w:lang w:val="en-GB"/>
        </w:rPr>
        <w:instrText xml:space="preserve">ADDIN Mendeley Bibliography CSL_BIBLIOGRAPHY </w:instrText>
      </w:r>
      <w:r w:rsidRPr="00EF524F">
        <w:rPr>
          <w:rFonts w:ascii="Calibri" w:eastAsia="Calibri" w:hAnsi="Calibri" w:cs="Times New Roman"/>
          <w:sz w:val="18"/>
          <w:szCs w:val="18"/>
          <w:lang w:val="en-GB"/>
        </w:rPr>
        <w:fldChar w:fldCharType="separate"/>
      </w:r>
      <w:r w:rsidRPr="00EF524F">
        <w:rPr>
          <w:rFonts w:ascii="Calibri" w:eastAsia="Calibri" w:hAnsi="Calibri" w:cs="Times New Roman"/>
          <w:noProof/>
          <w:sz w:val="18"/>
          <w:szCs w:val="24"/>
          <w:lang w:val="en-GB"/>
        </w:rPr>
        <w:t xml:space="preserve">Autumn, K. and N. Gravish. 2008. ‘Gecko Adhesion: Evolutionary Nanotechnology’. </w:t>
      </w:r>
      <w:r w:rsidRPr="00EF524F">
        <w:rPr>
          <w:rFonts w:ascii="Calibri" w:eastAsia="Calibri" w:hAnsi="Calibri" w:cs="Times New Roman"/>
          <w:i/>
          <w:iCs/>
          <w:noProof/>
          <w:sz w:val="18"/>
          <w:szCs w:val="24"/>
          <w:lang w:val="en-GB"/>
        </w:rPr>
        <w:t>Philosophical Transactions of the Royal Society A: Mathematical, Physical and Engineering Sciences</w:t>
      </w:r>
      <w:r w:rsidRPr="00EF524F">
        <w:rPr>
          <w:rFonts w:ascii="Calibri" w:eastAsia="Calibri" w:hAnsi="Calibri" w:cs="Times New Roman"/>
          <w:noProof/>
          <w:sz w:val="18"/>
          <w:szCs w:val="24"/>
          <w:lang w:val="en-GB"/>
        </w:rPr>
        <w:t xml:space="preserve"> 366(1870):1575–90. Retrieved (http://rsta.royalsocietypublishing.org/cgi/doi/10.1098/rsta.2007.2173).</w:t>
      </w:r>
    </w:p>
    <w:p w14:paraId="2C3BB3D2"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Bang Lee, Rai, Bong Jin Jeong, and Jin Ro Lee. n.d. ‘GRADIENT SURFACES AS TOOLS TO STUDY BIOCOMPATIBILITY’. Retrieved 27 June 2017 (https://page-one.live.cf.public.springer.com/pdf/preview/10.1007/978-4-431-65883-2_36).</w:t>
      </w:r>
    </w:p>
    <w:p w14:paraId="096E3D2F"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Bracco, Gianangelo and Bodil Holst. 2013. </w:t>
      </w:r>
      <w:r w:rsidRPr="00EF524F">
        <w:rPr>
          <w:rFonts w:ascii="Calibri" w:eastAsia="Calibri" w:hAnsi="Calibri" w:cs="Times New Roman"/>
          <w:i/>
          <w:iCs/>
          <w:noProof/>
          <w:sz w:val="18"/>
          <w:szCs w:val="24"/>
          <w:lang w:val="en-GB"/>
        </w:rPr>
        <w:t>Surface Science Techniques</w:t>
      </w:r>
      <w:r w:rsidRPr="00EF524F">
        <w:rPr>
          <w:rFonts w:ascii="Calibri" w:eastAsia="Calibri" w:hAnsi="Calibri" w:cs="Times New Roman"/>
          <w:noProof/>
          <w:sz w:val="18"/>
          <w:szCs w:val="24"/>
          <w:lang w:val="en-GB"/>
        </w:rPr>
        <w:t>.</w:t>
      </w:r>
    </w:p>
    <w:p w14:paraId="652DE8E6"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Emelyanenko, Alexandre M., Farida M. Shagieva, Alexandr G. Domantovsky, and Ludmila B. Boinovich. 2015. ‘Nanosecond Laser Micro- and Nanotexturing for the Design of a Superhydrophobic Coating Robust against Long-Term Contact with Water, Cavitation, and Abrasion’. </w:t>
      </w:r>
      <w:r w:rsidRPr="00EF524F">
        <w:rPr>
          <w:rFonts w:ascii="Calibri" w:eastAsia="Calibri" w:hAnsi="Calibri" w:cs="Times New Roman"/>
          <w:i/>
          <w:iCs/>
          <w:noProof/>
          <w:sz w:val="18"/>
          <w:szCs w:val="24"/>
          <w:lang w:val="en-GB"/>
        </w:rPr>
        <w:t>Applied Surface Science</w:t>
      </w:r>
      <w:r w:rsidRPr="00EF524F">
        <w:rPr>
          <w:rFonts w:ascii="Calibri" w:eastAsia="Calibri" w:hAnsi="Calibri" w:cs="Times New Roman"/>
          <w:noProof/>
          <w:sz w:val="18"/>
          <w:szCs w:val="24"/>
          <w:lang w:val="en-GB"/>
        </w:rPr>
        <w:t xml:space="preserve"> 332:513–17. Retrieved 22 June 2017 (http://linkinghub.elsevier.com/retrieve/pii/S0169433215002445).</w:t>
      </w:r>
    </w:p>
    <w:p w14:paraId="2D4C9B91"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Ensikat, Hans J., Petra Ditsche-Kuru, Christoph Neinhuis, and Wilhelm Barthlott. 2011. ‘Superhydrophobicity in Perfection: The Outstanding Properties of the Lotus Leaf.’ </w:t>
      </w:r>
      <w:r w:rsidRPr="00EF524F">
        <w:rPr>
          <w:rFonts w:ascii="Calibri" w:eastAsia="Calibri" w:hAnsi="Calibri" w:cs="Times New Roman"/>
          <w:i/>
          <w:iCs/>
          <w:noProof/>
          <w:sz w:val="18"/>
          <w:szCs w:val="24"/>
          <w:lang w:val="en-GB"/>
        </w:rPr>
        <w:t>Beilstein Journal of Nanotechnology</w:t>
      </w:r>
      <w:r w:rsidRPr="00EF524F">
        <w:rPr>
          <w:rFonts w:ascii="Calibri" w:eastAsia="Calibri" w:hAnsi="Calibri" w:cs="Times New Roman"/>
          <w:noProof/>
          <w:sz w:val="18"/>
          <w:szCs w:val="24"/>
          <w:lang w:val="en-GB"/>
        </w:rPr>
        <w:t xml:space="preserve"> 2:152–61. Retrieved 14 June 2017 (http://www.ncbi.nlm.nih.gov/pubmed/21977427).</w:t>
      </w:r>
    </w:p>
    <w:p w14:paraId="6EF8E59C"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Extrand, C. W. n.d. ‘Remodeling of Super-Hydrophobic Surfaces’. Retrieved 29 June 2017 (http://pubs.acs.org/doi/pdf/10.1021/acs.langmuir.6b02292).</w:t>
      </w:r>
    </w:p>
    <w:p w14:paraId="5D8D8D01"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Falde, Eric J., Stefan T. Yohe, Yolonda L. Colson, and Mark W. Grinstaff. 2016. ‘Superhydrophobic Materials for Biomedical Applications’. </w:t>
      </w:r>
      <w:r w:rsidRPr="00EF524F">
        <w:rPr>
          <w:rFonts w:ascii="Calibri" w:eastAsia="Calibri" w:hAnsi="Calibri" w:cs="Times New Roman"/>
          <w:i/>
          <w:iCs/>
          <w:noProof/>
          <w:sz w:val="18"/>
          <w:szCs w:val="24"/>
          <w:lang w:val="en-GB"/>
        </w:rPr>
        <w:t>Biomaterials</w:t>
      </w:r>
      <w:r w:rsidRPr="00EF524F">
        <w:rPr>
          <w:rFonts w:ascii="Calibri" w:eastAsia="Calibri" w:hAnsi="Calibri" w:cs="Times New Roman"/>
          <w:noProof/>
          <w:sz w:val="18"/>
          <w:szCs w:val="24"/>
          <w:lang w:val="en-GB"/>
        </w:rPr>
        <w:t xml:space="preserve"> 104:87–103. Retrieved (http://dx.doi.org/10.1016/j.biomaterials.2016.06.050).</w:t>
      </w:r>
    </w:p>
    <w:p w14:paraId="1A67389B"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Herminghaus, Stephan, Martin Brinkmann, and Ralf Seemann. 2008. ‘Wetting and Dewetting of Complex Surface Geometries’. </w:t>
      </w:r>
      <w:r w:rsidRPr="00EF524F">
        <w:rPr>
          <w:rFonts w:ascii="Calibri" w:eastAsia="Calibri" w:hAnsi="Calibri" w:cs="Times New Roman"/>
          <w:i/>
          <w:iCs/>
          <w:noProof/>
          <w:sz w:val="18"/>
          <w:szCs w:val="24"/>
          <w:lang w:val="en-GB"/>
        </w:rPr>
        <w:t>Annu. Rev. Mater. Res</w:t>
      </w:r>
      <w:r w:rsidRPr="00EF524F">
        <w:rPr>
          <w:rFonts w:ascii="Calibri" w:eastAsia="Calibri" w:hAnsi="Calibri" w:cs="Times New Roman"/>
          <w:noProof/>
          <w:sz w:val="18"/>
          <w:szCs w:val="24"/>
          <w:lang w:val="en-GB"/>
        </w:rPr>
        <w:t xml:space="preserve"> 38:101–21. Retrieved 16 June 2017 (http://www.lorentzcenter.nl/lc/web/2011/466/problems/1/annurev matsci 38 060407.pdf).</w:t>
      </w:r>
    </w:p>
    <w:p w14:paraId="04F3529A"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Hsu, Lillian C., Jean Fang, Diana A. Borca-Tasciuc, Randy W. Worobo, and Carmen I. Moraru. 2013. ‘Effect of Micro- and Nanoscale Topography on the Adhesion of Bacterial Cells to Solid Surfaces.’ </w:t>
      </w:r>
      <w:r w:rsidRPr="00EF524F">
        <w:rPr>
          <w:rFonts w:ascii="Calibri" w:eastAsia="Calibri" w:hAnsi="Calibri" w:cs="Times New Roman"/>
          <w:i/>
          <w:iCs/>
          <w:noProof/>
          <w:sz w:val="18"/>
          <w:szCs w:val="24"/>
          <w:lang w:val="en-GB"/>
        </w:rPr>
        <w:t>Applied and Environmental Microbiology</w:t>
      </w:r>
      <w:r w:rsidRPr="00EF524F">
        <w:rPr>
          <w:rFonts w:ascii="Calibri" w:eastAsia="Calibri" w:hAnsi="Calibri" w:cs="Times New Roman"/>
          <w:noProof/>
          <w:sz w:val="18"/>
          <w:szCs w:val="24"/>
          <w:lang w:val="en-GB"/>
        </w:rPr>
        <w:t xml:space="preserve"> 79(8):2703–12. Retrieved 1 July 2017 (http://www.ncbi.nlm.nih.gov/pubmed/23416997).</w:t>
      </w:r>
    </w:p>
    <w:p w14:paraId="05B48B95"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Journet, C., S. Moulinet, C. Ybert, S. T. Purcell, and L. Bocquet. 2005. ‘Contact Angle Measurements on Superhydrophobic Carbon Nanotube Forests: Effect of Fluid Pressure’. </w:t>
      </w:r>
      <w:r w:rsidRPr="00EF524F">
        <w:rPr>
          <w:rFonts w:ascii="Calibri" w:eastAsia="Calibri" w:hAnsi="Calibri" w:cs="Times New Roman"/>
          <w:i/>
          <w:iCs/>
          <w:noProof/>
          <w:sz w:val="18"/>
          <w:szCs w:val="24"/>
          <w:lang w:val="en-GB"/>
        </w:rPr>
        <w:t>Europhysics Letters (EPL)</w:t>
      </w:r>
      <w:r w:rsidRPr="00EF524F">
        <w:rPr>
          <w:rFonts w:ascii="Calibri" w:eastAsia="Calibri" w:hAnsi="Calibri" w:cs="Times New Roman"/>
          <w:noProof/>
          <w:sz w:val="18"/>
          <w:szCs w:val="24"/>
          <w:lang w:val="en-GB"/>
        </w:rPr>
        <w:t xml:space="preserve"> 71(1):104–9. Retrieved 22 June 2017 (http://stacks.iop.org/0295-5075/71/i=1/a=104?key=crossref.19034900573935473829650739dff2a7).</w:t>
      </w:r>
    </w:p>
    <w:p w14:paraId="7A5B77FE"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Kuo, Chiung Wen, Di-Yen Chueh, and Peilin Chen. 2014. ‘Investigation of Size-Dependent Cell Adhesion on Nanostructured Interfaces.’ </w:t>
      </w:r>
      <w:r w:rsidRPr="00EF524F">
        <w:rPr>
          <w:rFonts w:ascii="Calibri" w:eastAsia="Calibri" w:hAnsi="Calibri" w:cs="Times New Roman"/>
          <w:i/>
          <w:iCs/>
          <w:noProof/>
          <w:sz w:val="18"/>
          <w:szCs w:val="24"/>
          <w:lang w:val="en-GB"/>
        </w:rPr>
        <w:t>Journal of Nanobiotechnology</w:t>
      </w:r>
      <w:r w:rsidRPr="00EF524F">
        <w:rPr>
          <w:rFonts w:ascii="Calibri" w:eastAsia="Calibri" w:hAnsi="Calibri" w:cs="Times New Roman"/>
          <w:noProof/>
          <w:sz w:val="18"/>
          <w:szCs w:val="24"/>
          <w:lang w:val="en-GB"/>
        </w:rPr>
        <w:t xml:space="preserve"> 12:54. Retrieved 1 July 2017 (http://www.ncbi.nlm.nih.gov/pubmed/25477150).</w:t>
      </w:r>
    </w:p>
    <w:p w14:paraId="22173333"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Mohammadi, R., J. Wassink, and A. Amirfazli. n.d. ‘Effect of Surfactants on Wetting of Super-Hydrophobic Surfaces’. Retrieved 15 July 2017 (http://pubs.acs.org.proxy-ub.rug.nl/doi/pdf/10.1021/la049268k).</w:t>
      </w:r>
    </w:p>
    <w:p w14:paraId="6F1402F7"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Scarratt, Liam R. J., Ullrich Steiner, and Chiara Neto. 2017. ‘A Review on the Mechanical and Thermodynamic Robustness of Superhydrophobic Surfaces’. </w:t>
      </w:r>
      <w:r w:rsidRPr="00EF524F">
        <w:rPr>
          <w:rFonts w:ascii="Calibri" w:eastAsia="Calibri" w:hAnsi="Calibri" w:cs="Times New Roman"/>
          <w:i/>
          <w:iCs/>
          <w:noProof/>
          <w:sz w:val="18"/>
          <w:szCs w:val="24"/>
          <w:lang w:val="en-GB"/>
        </w:rPr>
        <w:t>Advances in Colloid and Interface Science</w:t>
      </w:r>
      <w:r w:rsidRPr="00EF524F">
        <w:rPr>
          <w:rFonts w:ascii="Calibri" w:eastAsia="Calibri" w:hAnsi="Calibri" w:cs="Times New Roman"/>
          <w:noProof/>
          <w:sz w:val="18"/>
          <w:szCs w:val="24"/>
          <w:lang w:val="en-GB"/>
        </w:rPr>
        <w:t xml:space="preserve"> (xxxx):0–1. Retrieved (http://linkinghub.elsevier.com/retrieve/pii/S0001868617301811).</w:t>
      </w:r>
    </w:p>
    <w:p w14:paraId="6DC2BCF5"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Sofos, Filippos, Theodoros E. Karakasidis, Antonios E. Giannakopoulos, and Antonios Liakopoulos. 2016. ‘Molecular Dynamics Simulation on Flows in Nano-Ribbed and Nano-Grooved Channels’. </w:t>
      </w:r>
      <w:r w:rsidRPr="00EF524F">
        <w:rPr>
          <w:rFonts w:ascii="Calibri" w:eastAsia="Calibri" w:hAnsi="Calibri" w:cs="Times New Roman"/>
          <w:i/>
          <w:iCs/>
          <w:noProof/>
          <w:sz w:val="18"/>
          <w:szCs w:val="24"/>
          <w:lang w:val="en-GB"/>
        </w:rPr>
        <w:t>Heat and Mass Transfer</w:t>
      </w:r>
      <w:r w:rsidRPr="00EF524F">
        <w:rPr>
          <w:rFonts w:ascii="Calibri" w:eastAsia="Calibri" w:hAnsi="Calibri" w:cs="Times New Roman"/>
          <w:noProof/>
          <w:sz w:val="18"/>
          <w:szCs w:val="24"/>
          <w:lang w:val="en-GB"/>
        </w:rPr>
        <w:t xml:space="preserve"> 52(1):153–62. Retrieved 14 June 2017 (http://link.springer.com/10.1007/s00231-015-1601-8).</w:t>
      </w:r>
    </w:p>
    <w:p w14:paraId="62D7ED53"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Watson, G. S. and J. A. Watson. 2004. ‘Natural Nano-Structures on Insects—possible Functions of Ordered Arrays Characterized by Atomic Force Microscopy’. </w:t>
      </w:r>
      <w:r w:rsidRPr="00EF524F">
        <w:rPr>
          <w:rFonts w:ascii="Calibri" w:eastAsia="Calibri" w:hAnsi="Calibri" w:cs="Times New Roman"/>
          <w:i/>
          <w:iCs/>
          <w:noProof/>
          <w:sz w:val="18"/>
          <w:szCs w:val="24"/>
          <w:lang w:val="en-GB"/>
        </w:rPr>
        <w:t>Applied Surface Science</w:t>
      </w:r>
      <w:r w:rsidRPr="00EF524F">
        <w:rPr>
          <w:rFonts w:ascii="Calibri" w:eastAsia="Calibri" w:hAnsi="Calibri" w:cs="Times New Roman"/>
          <w:noProof/>
          <w:sz w:val="18"/>
          <w:szCs w:val="24"/>
          <w:lang w:val="en-GB"/>
        </w:rPr>
        <w:t xml:space="preserve"> 235(1–2):139–44. Retrieved 1 August 2017 (http://linkinghub.elsevier.com/retrieve/pii/S0169433204007780).</w:t>
      </w:r>
    </w:p>
    <w:p w14:paraId="10B87FC4"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 xml:space="preserve">Wu, Hong, Claus Moser, Heng-Zhuang Wang, Niels Høiby, and Zhi-Jun Song. 2014. ‘Strategies for Combating Bacterial Biofilm Infections’. </w:t>
      </w:r>
      <w:r w:rsidRPr="00EF524F">
        <w:rPr>
          <w:rFonts w:ascii="Calibri" w:eastAsia="Calibri" w:hAnsi="Calibri" w:cs="Times New Roman"/>
          <w:i/>
          <w:iCs/>
          <w:noProof/>
          <w:sz w:val="18"/>
          <w:szCs w:val="24"/>
          <w:lang w:val="en-GB"/>
        </w:rPr>
        <w:t>International Journal of Oral Science</w:t>
      </w:r>
      <w:r w:rsidRPr="00EF524F">
        <w:rPr>
          <w:rFonts w:ascii="Calibri" w:eastAsia="Calibri" w:hAnsi="Calibri" w:cs="Times New Roman"/>
          <w:noProof/>
          <w:sz w:val="18"/>
          <w:szCs w:val="24"/>
          <w:lang w:val="en-GB"/>
        </w:rPr>
        <w:t xml:space="preserve"> 7(1):1–7. Retrieved (http://www.nature.com/doifinder/10.1038/ijos.2014.65).</w:t>
      </w:r>
    </w:p>
    <w:p w14:paraId="110A4A4A"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szCs w:val="24"/>
          <w:lang w:val="en-GB"/>
        </w:rPr>
      </w:pPr>
      <w:r w:rsidRPr="00EF524F">
        <w:rPr>
          <w:rFonts w:ascii="Calibri" w:eastAsia="Calibri" w:hAnsi="Calibri" w:cs="Times New Roman"/>
          <w:noProof/>
          <w:sz w:val="18"/>
          <w:szCs w:val="24"/>
          <w:lang w:val="en-GB"/>
        </w:rPr>
        <w:t>Yang, C., U. Tartaglino, and B. N. J. Persson. 2006. ‘Influence of Surface Roughness on Superhydrophobicity’. Retrieved 2 July 2017 (https://arxiv.org/pdf/cond-mat/0604052.pdf).</w:t>
      </w:r>
    </w:p>
    <w:p w14:paraId="52D0A251" w14:textId="77777777" w:rsidR="00EF524F" w:rsidRPr="00EF524F" w:rsidRDefault="00EF524F" w:rsidP="00EF524F">
      <w:pPr>
        <w:widowControl w:val="0"/>
        <w:suppressAutoHyphens/>
        <w:autoSpaceDE w:val="0"/>
        <w:autoSpaceDN w:val="0"/>
        <w:adjustRightInd w:val="0"/>
        <w:spacing w:line="240" w:lineRule="auto"/>
        <w:ind w:left="480" w:hanging="480"/>
        <w:textAlignment w:val="baseline"/>
        <w:rPr>
          <w:rFonts w:ascii="Calibri" w:eastAsia="Calibri" w:hAnsi="Calibri" w:cs="Times New Roman"/>
          <w:noProof/>
          <w:sz w:val="18"/>
          <w:lang w:val="en-GB"/>
        </w:rPr>
      </w:pPr>
      <w:r w:rsidRPr="00EF524F">
        <w:rPr>
          <w:rFonts w:ascii="Calibri" w:eastAsia="Calibri" w:hAnsi="Calibri" w:cs="Times New Roman"/>
          <w:noProof/>
          <w:sz w:val="18"/>
          <w:szCs w:val="24"/>
          <w:lang w:val="en-GB"/>
        </w:rPr>
        <w:t xml:space="preserve">Yao, Xi et al. 2013. ‘Adaptive Fluid-Infused Porous Films with Tunable Transparency and Wettability’. </w:t>
      </w:r>
      <w:r w:rsidRPr="00EF524F">
        <w:rPr>
          <w:rFonts w:ascii="Calibri" w:eastAsia="Calibri" w:hAnsi="Calibri" w:cs="Times New Roman"/>
          <w:i/>
          <w:iCs/>
          <w:noProof/>
          <w:sz w:val="18"/>
          <w:szCs w:val="24"/>
          <w:lang w:val="en-GB"/>
        </w:rPr>
        <w:t>Doi.org</w:t>
      </w:r>
      <w:r w:rsidRPr="00EF524F">
        <w:rPr>
          <w:rFonts w:ascii="Calibri" w:eastAsia="Calibri" w:hAnsi="Calibri" w:cs="Times New Roman"/>
          <w:noProof/>
          <w:sz w:val="18"/>
          <w:szCs w:val="24"/>
          <w:lang w:val="en-GB"/>
        </w:rPr>
        <w:t xml:space="preserve"> 12(6):529–34. Retrieved 16 June 2017 (https://aizenberglab.seas.harvard.edu/publications/adaptive-fluid-infused-porous-films-tunable-transparency-and-wettability).</w:t>
      </w:r>
    </w:p>
    <w:p w14:paraId="28EFE86D" w14:textId="77777777" w:rsidR="00EF524F" w:rsidRPr="00EF524F" w:rsidRDefault="00EF524F" w:rsidP="00EF524F">
      <w:pPr>
        <w:suppressAutoHyphens/>
        <w:autoSpaceDN w:val="0"/>
        <w:spacing w:line="256" w:lineRule="auto"/>
        <w:jc w:val="both"/>
        <w:textAlignment w:val="baseline"/>
        <w:rPr>
          <w:rFonts w:ascii="Calibri" w:eastAsia="Calibri" w:hAnsi="Calibri" w:cs="Times New Roman"/>
          <w:lang w:val="en-GB"/>
        </w:rPr>
      </w:pPr>
      <w:r w:rsidRPr="00EF524F">
        <w:rPr>
          <w:rFonts w:ascii="Calibri" w:eastAsia="Calibri" w:hAnsi="Calibri" w:cs="Times New Roman"/>
          <w:sz w:val="18"/>
          <w:szCs w:val="18"/>
          <w:lang w:val="en-GB"/>
        </w:rPr>
        <w:lastRenderedPageBreak/>
        <w:fldChar w:fldCharType="end"/>
      </w:r>
    </w:p>
    <w:p w14:paraId="16B45FC3" w14:textId="77777777" w:rsidR="00212618" w:rsidRPr="00EF524F" w:rsidRDefault="00336FE2">
      <w:pPr>
        <w:rPr>
          <w:lang w:val="en-GB"/>
        </w:rPr>
      </w:pPr>
    </w:p>
    <w:sectPr w:rsidR="00212618" w:rsidRPr="00EF524F" w:rsidSect="001A5DF9">
      <w:footerReference w:type="default" r:id="rId17"/>
      <w:pgSz w:w="11906" w:h="16838"/>
      <w:pgMar w:top="1417" w:right="1417" w:bottom="1417" w:left="1417" w:header="708" w:footer="708"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 w:author="P. van Rijn" w:date="2017-07-10T22:09:00Z" w:initials="PvR">
    <w:p w14:paraId="5E4BFBE3" w14:textId="77777777" w:rsidR="00EF524F" w:rsidRPr="0074710F" w:rsidRDefault="00EF524F" w:rsidP="00EF524F">
      <w:pPr>
        <w:pStyle w:val="CommentText"/>
      </w:pPr>
      <w:r>
        <w:rPr>
          <w:rStyle w:val="CommentReference"/>
        </w:rPr>
        <w:annotationRef/>
      </w:r>
      <w:r w:rsidRPr="006438E9">
        <w:rPr>
          <w:lang w:val="en-US"/>
        </w:rPr>
        <w:t xml:space="preserve">No anti-fouling lasts forever!! </w:t>
      </w:r>
      <w:r w:rsidRPr="0074710F">
        <w:t>Very true.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E4BFBE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4BFBE3" w16cid:durableId="1D30333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0426C0" w14:textId="77777777" w:rsidR="00336FE2" w:rsidRDefault="00336FE2" w:rsidP="001A5DF9">
      <w:pPr>
        <w:spacing w:after="0" w:line="240" w:lineRule="auto"/>
      </w:pPr>
      <w:r>
        <w:separator/>
      </w:r>
    </w:p>
  </w:endnote>
  <w:endnote w:type="continuationSeparator" w:id="0">
    <w:p w14:paraId="6751EC60" w14:textId="77777777" w:rsidR="00336FE2" w:rsidRDefault="00336FE2" w:rsidP="001A5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866628"/>
      <w:docPartObj>
        <w:docPartGallery w:val="Page Numbers (Bottom of Page)"/>
        <w:docPartUnique/>
      </w:docPartObj>
    </w:sdtPr>
    <w:sdtEndPr/>
    <w:sdtContent>
      <w:p w14:paraId="51C1C83E" w14:textId="491C7C4A" w:rsidR="001A5DF9" w:rsidRDefault="001A5DF9">
        <w:pPr>
          <w:pStyle w:val="Footer"/>
          <w:jc w:val="right"/>
        </w:pPr>
        <w:r>
          <w:fldChar w:fldCharType="begin"/>
        </w:r>
        <w:r>
          <w:instrText>PAGE   \* MERGEFORMAT</w:instrText>
        </w:r>
        <w:r>
          <w:fldChar w:fldCharType="separate"/>
        </w:r>
        <w:r w:rsidR="002341C4">
          <w:rPr>
            <w:noProof/>
          </w:rPr>
          <w:t>13</w:t>
        </w:r>
        <w:r>
          <w:fldChar w:fldCharType="end"/>
        </w:r>
      </w:p>
    </w:sdtContent>
  </w:sdt>
  <w:p w14:paraId="4E69A58F" w14:textId="77777777" w:rsidR="0044790F" w:rsidRDefault="00336F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8850D" w14:textId="77777777" w:rsidR="00336FE2" w:rsidRDefault="00336FE2" w:rsidP="001A5DF9">
      <w:pPr>
        <w:spacing w:after="0" w:line="240" w:lineRule="auto"/>
      </w:pPr>
      <w:r>
        <w:separator/>
      </w:r>
    </w:p>
  </w:footnote>
  <w:footnote w:type="continuationSeparator" w:id="0">
    <w:p w14:paraId="1A9A8627" w14:textId="77777777" w:rsidR="00336FE2" w:rsidRDefault="00336FE2" w:rsidP="001A5D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24F"/>
    <w:rsid w:val="000B6523"/>
    <w:rsid w:val="001A5DF9"/>
    <w:rsid w:val="001D239C"/>
    <w:rsid w:val="002341C4"/>
    <w:rsid w:val="00336FE2"/>
    <w:rsid w:val="00391918"/>
    <w:rsid w:val="00506BA4"/>
    <w:rsid w:val="00A31E28"/>
    <w:rsid w:val="00A34E00"/>
    <w:rsid w:val="00D07803"/>
    <w:rsid w:val="00EF524F"/>
    <w:rsid w:val="00F62D54"/>
    <w:rsid w:val="00FB46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7431"/>
  <w15:chartTrackingRefBased/>
  <w15:docId w15:val="{C7FADF19-DDF1-4B4F-B2F1-E9CF00E9D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F524F"/>
    <w:rPr>
      <w:color w:val="808080"/>
    </w:rPr>
  </w:style>
  <w:style w:type="paragraph" w:styleId="Footer">
    <w:name w:val="footer"/>
    <w:basedOn w:val="Normal"/>
    <w:link w:val="FooterChar"/>
    <w:uiPriority w:val="99"/>
    <w:rsid w:val="00EF524F"/>
    <w:pPr>
      <w:tabs>
        <w:tab w:val="center" w:pos="4536"/>
        <w:tab w:val="right" w:pos="9072"/>
      </w:tabs>
      <w:suppressAutoHyphens/>
      <w:autoSpaceDN w:val="0"/>
      <w:spacing w:after="0" w:line="240" w:lineRule="auto"/>
      <w:textAlignment w:val="baseline"/>
    </w:pPr>
    <w:rPr>
      <w:rFonts w:ascii="Calibri" w:eastAsia="Calibri" w:hAnsi="Calibri" w:cs="Times New Roman"/>
    </w:rPr>
  </w:style>
  <w:style w:type="character" w:customStyle="1" w:styleId="FooterChar">
    <w:name w:val="Footer Char"/>
    <w:basedOn w:val="DefaultParagraphFont"/>
    <w:link w:val="Footer"/>
    <w:uiPriority w:val="99"/>
    <w:rsid w:val="00EF524F"/>
    <w:rPr>
      <w:rFonts w:ascii="Calibri" w:eastAsia="Calibri" w:hAnsi="Calibri" w:cs="Times New Roman"/>
    </w:rPr>
  </w:style>
  <w:style w:type="character" w:styleId="CommentReference">
    <w:name w:val="annotation reference"/>
    <w:basedOn w:val="DefaultParagraphFont"/>
    <w:uiPriority w:val="99"/>
    <w:semiHidden/>
    <w:unhideWhenUsed/>
    <w:rsid w:val="00EF524F"/>
    <w:rPr>
      <w:sz w:val="16"/>
      <w:szCs w:val="16"/>
    </w:rPr>
  </w:style>
  <w:style w:type="paragraph" w:styleId="CommentText">
    <w:name w:val="annotation text"/>
    <w:basedOn w:val="Normal"/>
    <w:link w:val="CommentTextChar"/>
    <w:uiPriority w:val="99"/>
    <w:semiHidden/>
    <w:unhideWhenUsed/>
    <w:rsid w:val="00EF524F"/>
    <w:pPr>
      <w:suppressAutoHyphens/>
      <w:autoSpaceDN w:val="0"/>
      <w:spacing w:line="240" w:lineRule="auto"/>
      <w:textAlignment w:val="baseline"/>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EF524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F52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4F"/>
    <w:rPr>
      <w:rFonts w:ascii="Segoe UI" w:hAnsi="Segoe UI" w:cs="Segoe UI"/>
      <w:sz w:val="18"/>
      <w:szCs w:val="18"/>
    </w:rPr>
  </w:style>
  <w:style w:type="paragraph" w:styleId="Header">
    <w:name w:val="header"/>
    <w:basedOn w:val="Normal"/>
    <w:link w:val="HeaderChar"/>
    <w:uiPriority w:val="99"/>
    <w:unhideWhenUsed/>
    <w:rsid w:val="001A5DF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A5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microsoft.com/office/2011/relationships/commentsExtended" Target="commentsExtended.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omments" Target="commen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10477</Words>
  <Characters>57626</Characters>
  <Application>Microsoft Office Word</Application>
  <DocSecurity>0</DocSecurity>
  <Lines>480</Lines>
  <Paragraphs>135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Pallas Koers</dc:creator>
  <cp:keywords/>
  <dc:description/>
  <cp:lastModifiedBy>Alex Koers</cp:lastModifiedBy>
  <cp:revision>2</cp:revision>
  <dcterms:created xsi:type="dcterms:W3CDTF">2017-08-05T10:14:00Z</dcterms:created>
  <dcterms:modified xsi:type="dcterms:W3CDTF">2017-08-05T10:14:00Z</dcterms:modified>
</cp:coreProperties>
</file>